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117" w:rsidRDefault="00355A59" w:rsidP="007502DB">
      <w:pPr>
        <w:keepNext/>
        <w:tabs>
          <w:tab w:val="left" w:pos="4320"/>
        </w:tabs>
        <w:jc w:val="center"/>
        <w:rPr>
          <w:rFonts w:asciiTheme="minorHAnsi" w:hAnsiTheme="minorHAnsi"/>
          <w:b/>
          <w:sz w:val="28"/>
          <w:szCs w:val="28"/>
          <w:u w:val="single"/>
        </w:rPr>
      </w:pPr>
      <w:r w:rsidRPr="00AD5089">
        <w:rPr>
          <w:rFonts w:asciiTheme="minorHAnsi" w:hAnsiTheme="minorHAnsi"/>
          <w:b/>
          <w:sz w:val="28"/>
          <w:szCs w:val="28"/>
          <w:u w:val="single"/>
        </w:rPr>
        <w:t>Open Funding Opportunities</w:t>
      </w:r>
    </w:p>
    <w:p w:rsidR="007F6EBD" w:rsidRPr="00AD5089" w:rsidRDefault="007F6EBD" w:rsidP="00355A59">
      <w:pPr>
        <w:keepNext/>
        <w:tabs>
          <w:tab w:val="left" w:pos="4545"/>
        </w:tabs>
        <w:ind w:left="1440"/>
        <w:jc w:val="center"/>
        <w:rPr>
          <w:rFonts w:asciiTheme="minorHAnsi" w:hAnsiTheme="minorHAnsi"/>
          <w:b/>
          <w:sz w:val="28"/>
          <w:szCs w:val="28"/>
          <w:u w:val="single"/>
        </w:rPr>
      </w:pPr>
    </w:p>
    <w:tbl>
      <w:tblPr>
        <w:tblStyle w:val="TableGrid"/>
        <w:tblW w:w="0" w:type="auto"/>
        <w:tblLook w:val="04A0" w:firstRow="1" w:lastRow="0" w:firstColumn="1" w:lastColumn="0" w:noHBand="0" w:noVBand="1"/>
      </w:tblPr>
      <w:tblGrid>
        <w:gridCol w:w="9350"/>
      </w:tblGrid>
      <w:tr w:rsidR="00BD3CB4" w:rsidTr="00B06C03">
        <w:trPr>
          <w:hidden/>
        </w:trPr>
        <w:tc>
          <w:tcPr>
            <w:tcW w:w="9350" w:type="dxa"/>
          </w:tcPr>
          <w:p w:rsidR="00BD3CB4" w:rsidRPr="00BD3CB4" w:rsidRDefault="00BD3CB4" w:rsidP="00BD3CB4">
            <w:pPr>
              <w:jc w:val="center"/>
              <w:rPr>
                <w:rFonts w:asciiTheme="minorHAnsi" w:hAnsiTheme="minorHAnsi"/>
                <w:b/>
                <w:vanish/>
              </w:rPr>
            </w:pPr>
            <w:r w:rsidRPr="00BD3CB4">
              <w:rPr>
                <w:rFonts w:asciiTheme="minorHAnsi" w:hAnsiTheme="minorHAnsi"/>
                <w:b/>
                <w:vanish/>
              </w:rPr>
              <w:t>TDHCA Notices of Funding Availability</w:t>
            </w:r>
          </w:p>
          <w:p w:rsidR="00BD3CB4" w:rsidRPr="00BD3CB4" w:rsidRDefault="00BD3CB4" w:rsidP="00BD3CB4">
            <w:pPr>
              <w:rPr>
                <w:rFonts w:asciiTheme="minorHAnsi" w:hAnsiTheme="minorHAnsi"/>
                <w:vanish/>
              </w:rPr>
            </w:pPr>
          </w:p>
          <w:p w:rsidR="00BD3CB4" w:rsidRDefault="00BD3CB4" w:rsidP="00BD3CB4">
            <w:pPr>
              <w:rPr>
                <w:rFonts w:asciiTheme="minorHAnsi" w:hAnsiTheme="minorHAnsi"/>
                <w:vanish/>
              </w:rPr>
            </w:pPr>
            <w:r w:rsidRPr="00BD3CB4">
              <w:rPr>
                <w:rFonts w:asciiTheme="minorHAnsi" w:hAnsiTheme="minorHAnsi"/>
                <w:sz w:val="21"/>
                <w:szCs w:val="21"/>
              </w:rPr>
              <w:t>TDHCA makes program funds available throughout the year to qualifying applicants for a wide range of housing and related activities. The Department announces these funding opportunities through Notices of Funding Availability (NOFAs) posted on the Department's website and distributed via the Department's email lists. TDHCA programs that have current NOFAs open include the Amy Young Barrier Removal Program, the HOME Investment Partnerships Program, and the Multifamily Direct Loan Program.</w:t>
            </w:r>
            <w:r w:rsidRPr="00BD3CB4">
              <w:rPr>
                <w:rFonts w:asciiTheme="minorHAnsi" w:hAnsiTheme="minorHAnsi"/>
                <w:sz w:val="21"/>
                <w:szCs w:val="21"/>
              </w:rPr>
              <w:br/>
            </w:r>
            <w:r w:rsidRPr="00BD3CB4">
              <w:rPr>
                <w:rFonts w:asciiTheme="minorHAnsi" w:hAnsiTheme="minorHAnsi"/>
                <w:sz w:val="21"/>
                <w:szCs w:val="21"/>
              </w:rPr>
              <w:br/>
              <w:t>To learn more about current TDHCA NOFAs, visit </w:t>
            </w:r>
            <w:hyperlink r:id="rId7" w:tgtFrame="_blank" w:history="1">
              <w:r w:rsidRPr="00BD3CB4">
                <w:rPr>
                  <w:rStyle w:val="Hyperlink"/>
                  <w:rFonts w:asciiTheme="minorHAnsi" w:hAnsiTheme="minorHAnsi" w:cs="Arial"/>
                  <w:color w:val="2886FF"/>
                  <w:sz w:val="21"/>
                  <w:szCs w:val="21"/>
                </w:rPr>
                <w:t>https://www.tdhca.state.tx.us/nofa.htm</w:t>
              </w:r>
            </w:hyperlink>
            <w:r w:rsidRPr="00BD3CB4">
              <w:rPr>
                <w:rFonts w:asciiTheme="minorHAnsi" w:hAnsiTheme="minorHAnsi"/>
              </w:rPr>
              <w:t>.</w:t>
            </w:r>
          </w:p>
        </w:tc>
      </w:tr>
    </w:tbl>
    <w:p w:rsidR="00355A59" w:rsidRDefault="0098525D" w:rsidP="00355A59">
      <w:pPr>
        <w:rPr>
          <w:rFonts w:asciiTheme="minorHAnsi" w:hAnsiTheme="minorHAnsi"/>
          <w:vanish/>
        </w:rPr>
      </w:pPr>
      <w:r>
        <w:rPr>
          <w:rFonts w:asciiTheme="minorHAnsi" w:hAnsiTheme="minorHAnsi"/>
          <w:vanish/>
        </w:rPr>
        <w:t xml:space="preserve"> </w:t>
      </w:r>
    </w:p>
    <w:p w:rsidR="0098525D" w:rsidRDefault="0098525D" w:rsidP="00355A59">
      <w:pPr>
        <w:rPr>
          <w:rFonts w:asciiTheme="minorHAnsi" w:hAnsiTheme="minorHAnsi"/>
          <w:vanish/>
        </w:rPr>
      </w:pPr>
      <w:r>
        <w:rPr>
          <w:rFonts w:asciiTheme="minorHAnsi" w:hAnsiTheme="minorHAnsi"/>
          <w:vanish/>
        </w:rPr>
        <w:t xml:space="preserve"> </w:t>
      </w:r>
    </w:p>
    <w:p w:rsidR="00BD3CB4" w:rsidRPr="00AD5089" w:rsidRDefault="0098525D" w:rsidP="00355A59">
      <w:pPr>
        <w:rPr>
          <w:rFonts w:asciiTheme="minorHAnsi" w:hAnsiTheme="minorHAnsi"/>
          <w:vanish/>
        </w:rPr>
      </w:pPr>
      <w:r>
        <w:rPr>
          <w:rFonts w:asciiTheme="minorHAnsi" w:hAnsiTheme="minorHAnsi"/>
          <w:vanish/>
        </w:rPr>
        <w:t xml:space="preserve"> </w:t>
      </w:r>
      <w:bookmarkStart w:id="0" w:name="_GoBack"/>
      <w:bookmarkEnd w:id="0"/>
    </w:p>
    <w:tbl>
      <w:tblPr>
        <w:tblW w:w="5000" w:type="pct"/>
        <w:tblBorders>
          <w:top w:val="single" w:sz="4" w:space="0" w:color="auto"/>
          <w:left w:val="single" w:sz="4" w:space="0" w:color="auto"/>
          <w:bottom w:val="single" w:sz="4" w:space="0" w:color="auto"/>
          <w:right w:val="single" w:sz="4" w:space="0" w:color="auto"/>
        </w:tblBorders>
        <w:shd w:val="clear" w:color="auto" w:fill="FFFFFF"/>
        <w:tblCellMar>
          <w:left w:w="0" w:type="dxa"/>
          <w:right w:w="0" w:type="dxa"/>
        </w:tblCellMar>
        <w:tblLook w:val="04A0" w:firstRow="1" w:lastRow="0" w:firstColumn="1" w:lastColumn="0" w:noHBand="0" w:noVBand="1"/>
      </w:tblPr>
      <w:tblGrid>
        <w:gridCol w:w="9350"/>
      </w:tblGrid>
      <w:tr w:rsidR="00355A59" w:rsidRPr="00AD5089" w:rsidTr="00B06C0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40"/>
            </w:tblGrid>
            <w:tr w:rsidR="00355A59" w:rsidRPr="00AD5089" w:rsidTr="00355A59">
              <w:tc>
                <w:tcPr>
                  <w:tcW w:w="0" w:type="auto"/>
                  <w:tcMar>
                    <w:top w:w="150" w:type="dxa"/>
                    <w:left w:w="300" w:type="dxa"/>
                    <w:bottom w:w="150" w:type="dxa"/>
                    <w:right w:w="300" w:type="dxa"/>
                  </w:tcMar>
                  <w:hideMark/>
                </w:tcPr>
                <w:p w:rsidR="00355A59" w:rsidRPr="00AD5089" w:rsidRDefault="00355A59" w:rsidP="00355A59">
                  <w:pPr>
                    <w:jc w:val="center"/>
                    <w:rPr>
                      <w:rFonts w:asciiTheme="minorHAnsi" w:hAnsiTheme="minorHAnsi" w:cs="Arial"/>
                      <w:color w:val="000000"/>
                      <w:sz w:val="21"/>
                      <w:szCs w:val="21"/>
                    </w:rPr>
                  </w:pPr>
                  <w:r w:rsidRPr="00AD5089">
                    <w:rPr>
                      <w:rFonts w:asciiTheme="minorHAnsi" w:hAnsiTheme="minorHAnsi" w:cs="Arial"/>
                      <w:b/>
                      <w:bCs/>
                      <w:color w:val="000000"/>
                      <w:u w:val="single"/>
                    </w:rPr>
                    <w:t xml:space="preserve">Foster Youth </w:t>
                  </w:r>
                  <w:r w:rsidR="00A93D6C" w:rsidRPr="00AD5089">
                    <w:rPr>
                      <w:rFonts w:asciiTheme="minorHAnsi" w:hAnsiTheme="minorHAnsi" w:cs="Arial"/>
                      <w:b/>
                      <w:bCs/>
                      <w:color w:val="000000"/>
                      <w:u w:val="single"/>
                    </w:rPr>
                    <w:t>Initiative</w:t>
                  </w:r>
                  <w:r w:rsidRPr="00AD5089">
                    <w:rPr>
                      <w:rFonts w:asciiTheme="minorHAnsi" w:hAnsiTheme="minorHAnsi" w:cs="Arial"/>
                      <w:b/>
                      <w:bCs/>
                      <w:color w:val="000000"/>
                      <w:u w:val="single"/>
                    </w:rPr>
                    <w:t xml:space="preserve"> (FYI)</w:t>
                  </w:r>
                </w:p>
                <w:p w:rsidR="00355A59" w:rsidRPr="00AD5089" w:rsidRDefault="00355A59" w:rsidP="00355A59">
                  <w:pPr>
                    <w:jc w:val="center"/>
                    <w:rPr>
                      <w:rFonts w:asciiTheme="minorHAnsi" w:hAnsiTheme="minorHAnsi" w:cs="Arial"/>
                      <w:color w:val="000000"/>
                      <w:sz w:val="21"/>
                      <w:szCs w:val="21"/>
                    </w:rPr>
                  </w:pPr>
                </w:p>
                <w:p w:rsidR="00355A59" w:rsidRPr="00AD5089" w:rsidRDefault="00355A59" w:rsidP="00355A59">
                  <w:pPr>
                    <w:rPr>
                      <w:rFonts w:asciiTheme="minorHAnsi" w:hAnsiTheme="minorHAnsi" w:cs="Arial"/>
                      <w:color w:val="000000"/>
                      <w:sz w:val="21"/>
                      <w:szCs w:val="21"/>
                    </w:rPr>
                  </w:pPr>
                  <w:r w:rsidRPr="00AD5089">
                    <w:rPr>
                      <w:rFonts w:asciiTheme="minorHAnsi" w:hAnsiTheme="minorHAnsi" w:cs="Arial"/>
                      <w:color w:val="000000"/>
                      <w:sz w:val="21"/>
                      <w:szCs w:val="21"/>
                    </w:rPr>
                    <w:t>HUD announced the Foster Youth to Independence (FYI) initiative, through the issuance of</w:t>
                  </w:r>
                  <w:r w:rsidR="00A93D6C" w:rsidRPr="00AD5089">
                    <w:rPr>
                      <w:rFonts w:asciiTheme="minorHAnsi" w:hAnsiTheme="minorHAnsi" w:cs="Arial"/>
                      <w:color w:val="000000"/>
                      <w:sz w:val="21"/>
                      <w:szCs w:val="21"/>
                    </w:rPr>
                    <w:t> </w:t>
                  </w:r>
                  <w:hyperlink r:id="rId8" w:tgtFrame="_blank" w:history="1">
                    <w:r w:rsidRPr="00AD5089">
                      <w:rPr>
                        <w:rStyle w:val="Hyperlink"/>
                        <w:rFonts w:asciiTheme="minorHAnsi" w:hAnsiTheme="minorHAnsi" w:cs="Arial"/>
                        <w:color w:val="2886FF"/>
                        <w:sz w:val="21"/>
                        <w:szCs w:val="21"/>
                      </w:rPr>
                      <w:t>Notice PIH 2019-20</w:t>
                    </w:r>
                  </w:hyperlink>
                  <w:r w:rsidRPr="00AD5089">
                    <w:rPr>
                      <w:rFonts w:asciiTheme="minorHAnsi" w:hAnsiTheme="minorHAnsi" w:cs="Arial"/>
                      <w:color w:val="000000"/>
                      <w:sz w:val="21"/>
                      <w:szCs w:val="21"/>
                    </w:rPr>
                    <w:t> . Public Housing Agencies (PHAs) partnering with Public Child Welfare Agencies (PCWAs) may request Housing Choice Vouchers (HCVs) in the form of Tenant Protection Vouchers (TPVs) to assist eligible youth for a period of 36 months, subject to availability.</w:t>
                  </w:r>
                </w:p>
                <w:p w:rsidR="00355A59" w:rsidRPr="00AD5089" w:rsidRDefault="00355A59" w:rsidP="00355A59">
                  <w:pPr>
                    <w:rPr>
                      <w:rFonts w:asciiTheme="minorHAnsi" w:hAnsiTheme="minorHAnsi" w:cs="Arial"/>
                      <w:color w:val="000000"/>
                      <w:sz w:val="21"/>
                      <w:szCs w:val="21"/>
                    </w:rPr>
                  </w:pPr>
                </w:p>
                <w:p w:rsidR="00355A59" w:rsidRPr="00AD5089" w:rsidRDefault="00355A59" w:rsidP="00355A59">
                  <w:pPr>
                    <w:rPr>
                      <w:rFonts w:asciiTheme="minorHAnsi" w:hAnsiTheme="minorHAnsi" w:cs="Arial"/>
                      <w:color w:val="000000"/>
                      <w:sz w:val="21"/>
                      <w:szCs w:val="21"/>
                    </w:rPr>
                  </w:pPr>
                  <w:r w:rsidRPr="00AD5089">
                    <w:rPr>
                      <w:rFonts w:asciiTheme="minorHAnsi" w:hAnsiTheme="minorHAnsi" w:cs="Arial"/>
                      <w:color w:val="000000"/>
                      <w:sz w:val="21"/>
                      <w:szCs w:val="21"/>
                    </w:rPr>
                    <w:t>Eligible youth must meet the following conditions:</w:t>
                  </w:r>
                </w:p>
                <w:p w:rsidR="00355A59" w:rsidRPr="00AD5089" w:rsidRDefault="00355A59" w:rsidP="00355A59">
                  <w:pPr>
                    <w:rPr>
                      <w:rFonts w:asciiTheme="minorHAnsi" w:hAnsiTheme="minorHAnsi" w:cs="Arial"/>
                      <w:color w:val="000000"/>
                      <w:sz w:val="21"/>
                      <w:szCs w:val="21"/>
                    </w:rPr>
                  </w:pPr>
                </w:p>
                <w:p w:rsidR="00355A59" w:rsidRPr="00AD5089" w:rsidRDefault="00355A59" w:rsidP="00355A59">
                  <w:pPr>
                    <w:numPr>
                      <w:ilvl w:val="0"/>
                      <w:numId w:val="2"/>
                    </w:numPr>
                    <w:ind w:left="600"/>
                    <w:rPr>
                      <w:rFonts w:asciiTheme="minorHAnsi" w:hAnsiTheme="minorHAnsi" w:cs="Arial"/>
                      <w:color w:val="000000"/>
                      <w:sz w:val="21"/>
                      <w:szCs w:val="21"/>
                    </w:rPr>
                  </w:pPr>
                  <w:r w:rsidRPr="00AD5089">
                    <w:rPr>
                      <w:rFonts w:asciiTheme="minorHAnsi" w:hAnsiTheme="minorHAnsi" w:cs="Arial"/>
                      <w:color w:val="000000"/>
                      <w:sz w:val="21"/>
                      <w:szCs w:val="21"/>
                    </w:rPr>
                    <w:t>Has attained at least 18 years and not more than 24 years of age;</w:t>
                  </w:r>
                </w:p>
                <w:p w:rsidR="00355A59" w:rsidRPr="00AD5089" w:rsidRDefault="00355A59" w:rsidP="00355A59">
                  <w:pPr>
                    <w:numPr>
                      <w:ilvl w:val="0"/>
                      <w:numId w:val="2"/>
                    </w:numPr>
                    <w:ind w:left="600"/>
                    <w:rPr>
                      <w:rFonts w:asciiTheme="minorHAnsi" w:hAnsiTheme="minorHAnsi" w:cs="Arial"/>
                      <w:color w:val="000000"/>
                      <w:sz w:val="21"/>
                      <w:szCs w:val="21"/>
                    </w:rPr>
                  </w:pPr>
                  <w:r w:rsidRPr="00AD5089">
                    <w:rPr>
                      <w:rFonts w:asciiTheme="minorHAnsi" w:hAnsiTheme="minorHAnsi" w:cs="Arial"/>
                      <w:color w:val="000000"/>
                      <w:sz w:val="21"/>
                      <w:szCs w:val="21"/>
                    </w:rPr>
                    <w:t>Left foster care, or will leave foster care within 90 days, in accordance with a transition plan described in section 475(5)(H) of the Social Security Act at age 16 or older; and</w:t>
                  </w:r>
                </w:p>
                <w:p w:rsidR="00355A59" w:rsidRPr="00AD5089" w:rsidRDefault="00355A59" w:rsidP="00355A59">
                  <w:pPr>
                    <w:numPr>
                      <w:ilvl w:val="0"/>
                      <w:numId w:val="2"/>
                    </w:numPr>
                    <w:ind w:left="600"/>
                    <w:rPr>
                      <w:rFonts w:asciiTheme="minorHAnsi" w:hAnsiTheme="minorHAnsi" w:cs="Arial"/>
                      <w:color w:val="000000"/>
                      <w:sz w:val="21"/>
                      <w:szCs w:val="21"/>
                    </w:rPr>
                  </w:pPr>
                  <w:r w:rsidRPr="00AD5089">
                    <w:rPr>
                      <w:rFonts w:asciiTheme="minorHAnsi" w:hAnsiTheme="minorHAnsi" w:cs="Arial"/>
                      <w:color w:val="000000"/>
                      <w:sz w:val="21"/>
                      <w:szCs w:val="21"/>
                    </w:rPr>
                    <w:t>Is homeless or is at risk of becoming homeless.</w:t>
                  </w:r>
                </w:p>
                <w:p w:rsidR="00355A59" w:rsidRPr="00AD5089" w:rsidRDefault="00355A59" w:rsidP="00355A59">
                  <w:pPr>
                    <w:rPr>
                      <w:rFonts w:asciiTheme="minorHAnsi" w:hAnsiTheme="minorHAnsi" w:cs="Arial"/>
                      <w:color w:val="000000"/>
                      <w:sz w:val="21"/>
                      <w:szCs w:val="21"/>
                    </w:rPr>
                  </w:pPr>
                </w:p>
                <w:p w:rsidR="00355A59" w:rsidRPr="00AD5089" w:rsidRDefault="00355A59" w:rsidP="00355A59">
                  <w:pPr>
                    <w:rPr>
                      <w:rFonts w:asciiTheme="minorHAnsi" w:hAnsiTheme="minorHAnsi" w:cs="Arial"/>
                      <w:color w:val="000000"/>
                      <w:sz w:val="21"/>
                      <w:szCs w:val="21"/>
                    </w:rPr>
                  </w:pPr>
                  <w:r w:rsidRPr="00AD5089">
                    <w:rPr>
                      <w:rFonts w:asciiTheme="minorHAnsi" w:hAnsiTheme="minorHAnsi" w:cs="Arial"/>
                      <w:color w:val="000000"/>
                      <w:sz w:val="21"/>
                      <w:szCs w:val="21"/>
                    </w:rPr>
                    <w:t>Eligibility is not limited to single persons. For example, pregnant and/or parenting youth are eligible to receive assistance under this notice assuming they otherwise meet eligibility requirements.</w:t>
                  </w:r>
                </w:p>
                <w:p w:rsidR="00355A59" w:rsidRPr="00AD5089" w:rsidRDefault="00355A59" w:rsidP="00355A59">
                  <w:pPr>
                    <w:rPr>
                      <w:rFonts w:asciiTheme="minorHAnsi" w:hAnsiTheme="minorHAnsi" w:cs="Arial"/>
                      <w:color w:val="000000"/>
                      <w:sz w:val="21"/>
                      <w:szCs w:val="21"/>
                    </w:rPr>
                  </w:pPr>
                </w:p>
                <w:p w:rsidR="00355A59" w:rsidRPr="00AD5089" w:rsidRDefault="00355A59" w:rsidP="00355A59">
                  <w:pPr>
                    <w:rPr>
                      <w:rFonts w:asciiTheme="minorHAnsi" w:hAnsiTheme="minorHAnsi" w:cs="Arial"/>
                      <w:color w:val="000000"/>
                      <w:sz w:val="21"/>
                      <w:szCs w:val="21"/>
                    </w:rPr>
                  </w:pPr>
                  <w:r w:rsidRPr="00AD5089">
                    <w:rPr>
                      <w:rFonts w:asciiTheme="minorHAnsi" w:hAnsiTheme="minorHAnsi" w:cs="Arial"/>
                      <w:color w:val="000000"/>
                      <w:sz w:val="21"/>
                      <w:szCs w:val="21"/>
                    </w:rPr>
                    <w:t>PHAs are eligible if they currently administer the Housing Choice Voucher (HCV) Program and do not administer the Family Unification Program (FUP). PHAs that administer the FUP, awarded any year, are not eligible to administer assistance under FYI TPV. A list of PHAs that administer the HCV program and do not administer FUP is</w:t>
                  </w:r>
                  <w:r w:rsidR="00A93D6C" w:rsidRPr="00AD5089">
                    <w:rPr>
                      <w:rFonts w:asciiTheme="minorHAnsi" w:hAnsiTheme="minorHAnsi" w:cs="Arial"/>
                      <w:color w:val="000000"/>
                      <w:sz w:val="21"/>
                      <w:szCs w:val="21"/>
                    </w:rPr>
                    <w:t> </w:t>
                  </w:r>
                  <w:hyperlink r:id="rId9" w:tgtFrame="_blank" w:history="1">
                    <w:r w:rsidRPr="00AD5089">
                      <w:rPr>
                        <w:rStyle w:val="Hyperlink"/>
                        <w:rFonts w:asciiTheme="minorHAnsi" w:hAnsiTheme="minorHAnsi" w:cs="Arial"/>
                        <w:color w:val="2886FF"/>
                        <w:sz w:val="21"/>
                        <w:szCs w:val="21"/>
                      </w:rPr>
                      <w:t>available here</w:t>
                    </w:r>
                  </w:hyperlink>
                  <w:r w:rsidRPr="00AD5089">
                    <w:rPr>
                      <w:rFonts w:asciiTheme="minorHAnsi" w:hAnsiTheme="minorHAnsi" w:cs="Arial"/>
                      <w:color w:val="000000"/>
                      <w:sz w:val="21"/>
                      <w:szCs w:val="21"/>
                    </w:rPr>
                    <w:t> . For additional information on PHA eligibility requirements, please review the Notice. HUD will accept PHA requests for FYI Tenant Protection Vouchers (TVPs) on a rolling basis.</w:t>
                  </w:r>
                </w:p>
                <w:p w:rsidR="00355A59" w:rsidRPr="00AD5089" w:rsidRDefault="00355A59" w:rsidP="00355A59">
                  <w:pPr>
                    <w:rPr>
                      <w:rFonts w:asciiTheme="minorHAnsi" w:hAnsiTheme="minorHAnsi" w:cs="Arial"/>
                      <w:color w:val="000000"/>
                      <w:sz w:val="21"/>
                      <w:szCs w:val="21"/>
                    </w:rPr>
                  </w:pPr>
                </w:p>
                <w:p w:rsidR="00355A59" w:rsidRPr="00AD5089" w:rsidRDefault="00355A59" w:rsidP="00355A59">
                  <w:pPr>
                    <w:rPr>
                      <w:rFonts w:asciiTheme="minorHAnsi" w:hAnsiTheme="minorHAnsi" w:cs="Arial"/>
                      <w:color w:val="000000"/>
                      <w:sz w:val="21"/>
                      <w:szCs w:val="21"/>
                    </w:rPr>
                  </w:pPr>
                  <w:r w:rsidRPr="00AD5089">
                    <w:rPr>
                      <w:rFonts w:asciiTheme="minorHAnsi" w:hAnsiTheme="minorHAnsi" w:cs="Arial"/>
                      <w:color w:val="000000"/>
                      <w:sz w:val="21"/>
                      <w:szCs w:val="21"/>
                    </w:rPr>
                    <w:t>Read the one-pager </w:t>
                  </w:r>
                  <w:hyperlink r:id="rId10" w:tgtFrame="_blank" w:history="1">
                    <w:r w:rsidRPr="00AD5089">
                      <w:rPr>
                        <w:rStyle w:val="Hyperlink"/>
                        <w:rFonts w:asciiTheme="minorHAnsi" w:hAnsiTheme="minorHAnsi" w:cs="Arial"/>
                        <w:color w:val="2886FF"/>
                        <w:sz w:val="21"/>
                        <w:szCs w:val="21"/>
                      </w:rPr>
                      <w:t>here</w:t>
                    </w:r>
                  </w:hyperlink>
                  <w:r w:rsidRPr="00AD5089">
                    <w:rPr>
                      <w:rFonts w:asciiTheme="minorHAnsi" w:hAnsiTheme="minorHAnsi" w:cs="Arial"/>
                      <w:color w:val="000000"/>
                      <w:sz w:val="21"/>
                      <w:szCs w:val="21"/>
                    </w:rPr>
                    <w:t> .</w:t>
                  </w:r>
                </w:p>
                <w:p w:rsidR="00355A59" w:rsidRPr="00AD5089" w:rsidRDefault="00355A59" w:rsidP="00355A59">
                  <w:pPr>
                    <w:rPr>
                      <w:rFonts w:asciiTheme="minorHAnsi" w:hAnsiTheme="minorHAnsi" w:cs="Arial"/>
                      <w:color w:val="000000"/>
                      <w:sz w:val="21"/>
                      <w:szCs w:val="21"/>
                    </w:rPr>
                  </w:pPr>
                </w:p>
                <w:p w:rsidR="00355A59" w:rsidRPr="00AD5089" w:rsidRDefault="00355A59" w:rsidP="00355A59">
                  <w:pPr>
                    <w:rPr>
                      <w:rFonts w:asciiTheme="minorHAnsi" w:hAnsiTheme="minorHAnsi" w:cs="Arial"/>
                      <w:color w:val="000000"/>
                      <w:sz w:val="21"/>
                      <w:szCs w:val="21"/>
                    </w:rPr>
                  </w:pPr>
                  <w:r w:rsidRPr="00AD5089">
                    <w:rPr>
                      <w:rFonts w:asciiTheme="minorHAnsi" w:hAnsiTheme="minorHAnsi" w:cs="Arial"/>
                      <w:color w:val="000000"/>
                      <w:sz w:val="21"/>
                      <w:szCs w:val="21"/>
                    </w:rPr>
                    <w:t>Read the full notice </w:t>
                  </w:r>
                  <w:hyperlink r:id="rId11" w:tgtFrame="_blank" w:history="1">
                    <w:r w:rsidRPr="00AD5089">
                      <w:rPr>
                        <w:rStyle w:val="Hyperlink"/>
                        <w:rFonts w:asciiTheme="minorHAnsi" w:hAnsiTheme="minorHAnsi" w:cs="Arial"/>
                        <w:color w:val="2886FF"/>
                        <w:sz w:val="21"/>
                        <w:szCs w:val="21"/>
                      </w:rPr>
                      <w:t>here</w:t>
                    </w:r>
                  </w:hyperlink>
                  <w:r w:rsidRPr="00AD5089">
                    <w:rPr>
                      <w:rFonts w:asciiTheme="minorHAnsi" w:hAnsiTheme="minorHAnsi" w:cs="Arial"/>
                      <w:color w:val="000000"/>
                      <w:sz w:val="21"/>
                      <w:szCs w:val="21"/>
                    </w:rPr>
                    <w:t> .</w:t>
                  </w:r>
                </w:p>
              </w:tc>
            </w:tr>
          </w:tbl>
          <w:p w:rsidR="00355A59" w:rsidRPr="00AD5089" w:rsidRDefault="00355A59">
            <w:pPr>
              <w:rPr>
                <w:rFonts w:asciiTheme="minorHAnsi" w:hAnsiTheme="minorHAnsi"/>
                <w:color w:val="000000"/>
                <w:sz w:val="27"/>
                <w:szCs w:val="27"/>
              </w:rPr>
            </w:pPr>
          </w:p>
        </w:tc>
      </w:tr>
    </w:tbl>
    <w:p w:rsidR="00355A59" w:rsidRDefault="00BD3CB4" w:rsidP="00355A59">
      <w:pPr>
        <w:rPr>
          <w:rFonts w:asciiTheme="minorHAnsi" w:hAnsiTheme="minorHAnsi"/>
        </w:rPr>
      </w:pPr>
      <w:r>
        <w:rPr>
          <w:rFonts w:asciiTheme="minorHAnsi" w:hAnsiTheme="minorHAnsi"/>
        </w:rPr>
        <w:t xml:space="preserve"> </w:t>
      </w:r>
    </w:p>
    <w:p w:rsidR="006308B1" w:rsidRPr="00AD5089" w:rsidRDefault="006308B1" w:rsidP="00355A59">
      <w:pPr>
        <w:rPr>
          <w:rFonts w:asciiTheme="minorHAnsi" w:hAnsiTheme="minorHAnsi"/>
          <w:vanish/>
        </w:rPr>
      </w:pPr>
    </w:p>
    <w:p w:rsidR="007F6EBD" w:rsidRDefault="007F6EBD" w:rsidP="00355A59">
      <w:pPr>
        <w:shd w:val="clear" w:color="auto" w:fill="FFFFFF"/>
        <w:rPr>
          <w:rFonts w:asciiTheme="minorHAnsi" w:hAnsiTheme="minorHAnsi" w:cs="Arial"/>
          <w:color w:val="000000"/>
          <w:sz w:val="21"/>
          <w:szCs w:val="21"/>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350"/>
      </w:tblGrid>
      <w:tr w:rsidR="006308B1" w:rsidRPr="00AD5089" w:rsidTr="00B06C03">
        <w:tc>
          <w:tcPr>
            <w:tcW w:w="0" w:type="auto"/>
            <w:tcMar>
              <w:top w:w="150" w:type="dxa"/>
              <w:left w:w="300" w:type="dxa"/>
              <w:bottom w:w="150" w:type="dxa"/>
              <w:right w:w="300" w:type="dxa"/>
            </w:tcMar>
            <w:hideMark/>
          </w:tcPr>
          <w:p w:rsidR="006308B1" w:rsidRPr="00BD3CB4" w:rsidRDefault="006308B1" w:rsidP="00B27384">
            <w:pPr>
              <w:jc w:val="center"/>
              <w:rPr>
                <w:rFonts w:asciiTheme="minorHAnsi" w:hAnsiTheme="minorHAnsi" w:cs="Arial"/>
                <w:b/>
                <w:color w:val="000000"/>
                <w:szCs w:val="21"/>
                <w:u w:val="single"/>
              </w:rPr>
            </w:pPr>
            <w:r w:rsidRPr="00BD3CB4">
              <w:rPr>
                <w:rFonts w:asciiTheme="minorHAnsi" w:hAnsiTheme="minorHAnsi" w:cs="Arial"/>
                <w:b/>
                <w:color w:val="000000"/>
                <w:szCs w:val="21"/>
                <w:u w:val="single"/>
              </w:rPr>
              <w:lastRenderedPageBreak/>
              <w:t>Funding Offered for Housing Aid to Victims of Human Trafficking</w:t>
            </w:r>
          </w:p>
          <w:p w:rsidR="006308B1" w:rsidRPr="006308B1" w:rsidRDefault="006308B1" w:rsidP="00B27384">
            <w:pPr>
              <w:rPr>
                <w:rFonts w:asciiTheme="minorHAnsi" w:hAnsiTheme="minorHAnsi" w:cs="Arial"/>
                <w:color w:val="000000"/>
                <w:sz w:val="21"/>
                <w:szCs w:val="21"/>
              </w:rPr>
            </w:pPr>
          </w:p>
          <w:p w:rsidR="006308B1" w:rsidRPr="00AD5089" w:rsidRDefault="006308B1" w:rsidP="00B27384">
            <w:pPr>
              <w:rPr>
                <w:rFonts w:cs="Arial"/>
                <w:color w:val="000000"/>
                <w:sz w:val="21"/>
                <w:szCs w:val="21"/>
              </w:rPr>
            </w:pPr>
            <w:r w:rsidRPr="006308B1">
              <w:rPr>
                <w:rFonts w:asciiTheme="minorHAnsi" w:hAnsiTheme="minorHAnsi" w:cs="Arial"/>
                <w:color w:val="000000"/>
                <w:sz w:val="21"/>
                <w:szCs w:val="21"/>
              </w:rPr>
              <w:t xml:space="preserve">Nonprofits, tribes, units of local government, and states and territories are </w:t>
            </w:r>
            <w:hyperlink r:id="rId12" w:history="1">
              <w:r w:rsidRPr="006308B1">
                <w:rPr>
                  <w:rStyle w:val="Hyperlink"/>
                  <w:rFonts w:asciiTheme="minorHAnsi" w:hAnsiTheme="minorHAnsi" w:cs="Arial"/>
                  <w:color w:val="2886FF"/>
                  <w:sz w:val="21"/>
                  <w:szCs w:val="21"/>
                </w:rPr>
                <w:t>eligible for grants</w:t>
              </w:r>
            </w:hyperlink>
            <w:r w:rsidRPr="006308B1">
              <w:rPr>
                <w:rFonts w:asciiTheme="minorHAnsi" w:hAnsiTheme="minorHAnsi" w:cs="Arial"/>
                <w:color w:val="000000"/>
                <w:sz w:val="21"/>
                <w:szCs w:val="21"/>
              </w:rPr>
              <w:t xml:space="preserve"> to provide transitional or short-term housing assistance and support services to victims of human trafficking. The deadline is February 3. For more information, contact the </w:t>
            </w:r>
            <w:hyperlink r:id="rId13" w:history="1">
              <w:r w:rsidRPr="006308B1">
                <w:rPr>
                  <w:rStyle w:val="Hyperlink"/>
                  <w:rFonts w:asciiTheme="minorHAnsi" w:hAnsiTheme="minorHAnsi" w:cs="Arial"/>
                  <w:color w:val="2886FF"/>
                  <w:sz w:val="21"/>
                  <w:szCs w:val="21"/>
                </w:rPr>
                <w:t>National Criminal Justice Reference Service</w:t>
              </w:r>
            </w:hyperlink>
            <w:r w:rsidRPr="006308B1">
              <w:rPr>
                <w:rFonts w:asciiTheme="minorHAnsi" w:hAnsiTheme="minorHAnsi" w:cs="Arial"/>
                <w:color w:val="000000"/>
                <w:sz w:val="21"/>
                <w:szCs w:val="21"/>
              </w:rPr>
              <w:t xml:space="preserve">, 800-851-3420, </w:t>
            </w:r>
            <w:hyperlink r:id="rId14" w:history="1">
              <w:r w:rsidRPr="006308B1">
                <w:rPr>
                  <w:rStyle w:val="Hyperlink"/>
                  <w:rFonts w:asciiTheme="minorHAnsi" w:hAnsiTheme="minorHAnsi" w:cs="Arial"/>
                  <w:color w:val="2886FF"/>
                  <w:sz w:val="21"/>
                  <w:szCs w:val="21"/>
                </w:rPr>
                <w:t>grants@ncjrs.gov</w:t>
              </w:r>
            </w:hyperlink>
            <w:r w:rsidRPr="006308B1">
              <w:rPr>
                <w:rFonts w:asciiTheme="minorHAnsi" w:hAnsiTheme="minorHAnsi" w:cs="Arial"/>
                <w:color w:val="000000"/>
                <w:sz w:val="21"/>
                <w:szCs w:val="21"/>
              </w:rPr>
              <w:t xml:space="preserve">. (This funding announcement, released by the Department of Justice’s Office for Victims of Crime, replaces one that was </w:t>
            </w:r>
            <w:hyperlink r:id="rId15" w:history="1">
              <w:r w:rsidRPr="006308B1">
                <w:rPr>
                  <w:rStyle w:val="Hyperlink"/>
                  <w:rFonts w:asciiTheme="minorHAnsi" w:hAnsiTheme="minorHAnsi" w:cs="Arial"/>
                  <w:color w:val="2886FF"/>
                  <w:sz w:val="21"/>
                  <w:szCs w:val="21"/>
                </w:rPr>
                <w:t>announced by HUD</w:t>
              </w:r>
            </w:hyperlink>
            <w:r w:rsidRPr="006308B1">
              <w:rPr>
                <w:rFonts w:asciiTheme="minorHAnsi" w:hAnsiTheme="minorHAnsi" w:cs="Arial"/>
                <w:color w:val="000000"/>
                <w:sz w:val="21"/>
                <w:szCs w:val="21"/>
              </w:rPr>
              <w:t xml:space="preserve"> earlier in 2019, then postponed.)</w:t>
            </w:r>
          </w:p>
        </w:tc>
      </w:tr>
    </w:tbl>
    <w:p w:rsidR="007F6EBD" w:rsidRDefault="007F6EBD" w:rsidP="00A93D6C">
      <w:pPr>
        <w:keepNext/>
        <w:rPr>
          <w:rFonts w:asciiTheme="minorHAnsi" w:hAnsiTheme="minorHAnsi"/>
          <w:sz w:val="20"/>
          <w:szCs w:val="20"/>
        </w:rPr>
      </w:pPr>
    </w:p>
    <w:p w:rsidR="001A1CA4" w:rsidRDefault="001A1CA4" w:rsidP="00A93D6C">
      <w:pPr>
        <w:keepNext/>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350"/>
      </w:tblGrid>
      <w:tr w:rsidR="00AD5089" w:rsidRPr="00AD5089" w:rsidTr="00B06C03">
        <w:tc>
          <w:tcPr>
            <w:tcW w:w="0" w:type="auto"/>
            <w:tcMar>
              <w:top w:w="150" w:type="dxa"/>
              <w:left w:w="300" w:type="dxa"/>
              <w:bottom w:w="150" w:type="dxa"/>
              <w:right w:w="300" w:type="dxa"/>
            </w:tcMar>
            <w:hideMark/>
          </w:tcPr>
          <w:p w:rsidR="00AD5089" w:rsidRPr="00A44E8C" w:rsidRDefault="00AD5089" w:rsidP="00AD5089">
            <w:pPr>
              <w:jc w:val="center"/>
              <w:rPr>
                <w:rFonts w:asciiTheme="minorHAnsi" w:hAnsiTheme="minorHAnsi" w:cs="Helvetica"/>
                <w:b/>
                <w:szCs w:val="21"/>
                <w:u w:val="single"/>
              </w:rPr>
            </w:pPr>
            <w:r w:rsidRPr="00A44E8C">
              <w:rPr>
                <w:rFonts w:asciiTheme="minorHAnsi" w:hAnsiTheme="minorHAnsi" w:cs="Helvetica"/>
                <w:b/>
                <w:szCs w:val="21"/>
                <w:u w:val="single"/>
              </w:rPr>
              <w:t>GPD Notice of Funding Availability (NOFA)</w:t>
            </w:r>
          </w:p>
          <w:p w:rsidR="00AD5089" w:rsidRPr="00A44E8C" w:rsidRDefault="00AD5089" w:rsidP="00AD5089">
            <w:pPr>
              <w:rPr>
                <w:rFonts w:asciiTheme="minorHAnsi" w:hAnsiTheme="minorHAnsi" w:cs="Helvetica"/>
                <w:sz w:val="21"/>
                <w:szCs w:val="21"/>
              </w:rPr>
            </w:pPr>
          </w:p>
          <w:p w:rsidR="00AD5089" w:rsidRPr="00AD5089" w:rsidRDefault="00AD5089" w:rsidP="00AD5089">
            <w:pPr>
              <w:rPr>
                <w:rFonts w:asciiTheme="minorHAnsi" w:hAnsiTheme="minorHAnsi" w:cs="Arial"/>
                <w:color w:val="000000"/>
                <w:sz w:val="21"/>
                <w:szCs w:val="21"/>
              </w:rPr>
            </w:pPr>
            <w:r w:rsidRPr="00A44E8C">
              <w:rPr>
                <w:rFonts w:asciiTheme="minorHAnsi" w:hAnsiTheme="minorHAnsi" w:cs="Helvetica"/>
                <w:sz w:val="21"/>
                <w:szCs w:val="21"/>
              </w:rPr>
              <w:t xml:space="preserve">On December 30, 2019, VA's GPD Program published a NOFA in the Federal Register.  This NOFA provides funding opportunities for eligible organizations to provide transitional housing beds and/or service centers for Veterans who are homeless or at risk for becoming homeless.  This NOFA is competitive and applicants are urged to closely review the NOFA and associated technical assistance materials provided below.  </w:t>
            </w:r>
            <w:r w:rsidRPr="00A44E8C">
              <w:rPr>
                <w:rFonts w:asciiTheme="minorHAnsi" w:hAnsiTheme="minorHAnsi" w:cs="Helvetica"/>
                <w:b/>
                <w:sz w:val="21"/>
                <w:szCs w:val="21"/>
              </w:rPr>
              <w:t>The application deadline is: March 2, 2020 at 4:00 pm Eastern Time</w:t>
            </w:r>
            <w:r w:rsidRPr="00A44E8C">
              <w:rPr>
                <w:rFonts w:asciiTheme="minorHAnsi" w:hAnsiTheme="minorHAnsi" w:cs="Helvetica"/>
                <w:sz w:val="21"/>
                <w:szCs w:val="21"/>
              </w:rPr>
              <w:t>. Awards are for services to begin October 1, 2020. </w:t>
            </w:r>
            <w:r w:rsidRPr="00A44E8C">
              <w:rPr>
                <w:rFonts w:asciiTheme="minorHAnsi" w:hAnsiTheme="minorHAnsi" w:cs="Helvetica"/>
                <w:sz w:val="21"/>
                <w:szCs w:val="21"/>
              </w:rPr>
              <w:br/>
            </w:r>
            <w:r w:rsidRPr="00A44E8C">
              <w:rPr>
                <w:rFonts w:asciiTheme="minorHAnsi" w:hAnsiTheme="minorHAnsi" w:cs="Helvetica"/>
                <w:sz w:val="21"/>
                <w:szCs w:val="21"/>
              </w:rPr>
              <w:br/>
              <w:t>This NOFA announces the availability of per diem funding to 501(c</w:t>
            </w:r>
            <w:proofErr w:type="gramStart"/>
            <w:r w:rsidRPr="00A44E8C">
              <w:rPr>
                <w:rFonts w:asciiTheme="minorHAnsi" w:hAnsiTheme="minorHAnsi" w:cs="Helvetica"/>
                <w:sz w:val="21"/>
                <w:szCs w:val="21"/>
              </w:rPr>
              <w:t>)(</w:t>
            </w:r>
            <w:proofErr w:type="gramEnd"/>
            <w:r w:rsidRPr="00A44E8C">
              <w:rPr>
                <w:rFonts w:asciiTheme="minorHAnsi" w:hAnsiTheme="minorHAnsi" w:cs="Helvetica"/>
                <w:sz w:val="21"/>
                <w:szCs w:val="21"/>
              </w:rPr>
              <w:t>3) and 501(c)(19) non-profit organizations, state and local governments, and recognized Indian Tribal governments. Each application must request either transitional housing bed model(s) or service center(s). Although transitional housing applications and service center applications are standalone applications, they will be reviewed, scored and selected for funding together. They will be selected based on their ranked order among all the applications submitted in response to this NOFA.</w:t>
            </w:r>
            <w:r w:rsidRPr="00AD5089">
              <w:rPr>
                <w:rFonts w:asciiTheme="minorHAnsi" w:hAnsiTheme="minorHAnsi" w:cs="Helvetica"/>
                <w:color w:val="283C46"/>
                <w:sz w:val="21"/>
                <w:szCs w:val="21"/>
              </w:rPr>
              <w:br/>
            </w:r>
            <w:r w:rsidRPr="00AD5089">
              <w:rPr>
                <w:rFonts w:asciiTheme="minorHAnsi" w:hAnsiTheme="minorHAnsi" w:cs="Helvetica"/>
                <w:color w:val="283C46"/>
                <w:sz w:val="21"/>
                <w:szCs w:val="21"/>
              </w:rPr>
              <w:br/>
              <w:t xml:space="preserve">For more information, go to the </w:t>
            </w:r>
            <w:hyperlink r:id="rId16" w:history="1">
              <w:r w:rsidRPr="00AD5089">
                <w:rPr>
                  <w:rStyle w:val="Hyperlink"/>
                  <w:rFonts w:asciiTheme="minorHAnsi" w:hAnsiTheme="minorHAnsi" w:cs="Arial"/>
                  <w:color w:val="2886FF"/>
                  <w:sz w:val="21"/>
                  <w:szCs w:val="21"/>
                </w:rPr>
                <w:t>homepage</w:t>
              </w:r>
            </w:hyperlink>
            <w:r w:rsidRPr="00AD5089">
              <w:rPr>
                <w:rFonts w:asciiTheme="minorHAnsi" w:hAnsiTheme="minorHAnsi" w:cs="Helvetica"/>
                <w:color w:val="283C46"/>
                <w:sz w:val="21"/>
                <w:szCs w:val="21"/>
              </w:rPr>
              <w:t xml:space="preserve">:  </w:t>
            </w:r>
            <w:r w:rsidRPr="00AD5089">
              <w:rPr>
                <w:rFonts w:asciiTheme="minorHAnsi" w:hAnsiTheme="minorHAnsi" w:cs="Helvetica"/>
                <w:color w:val="283C46"/>
                <w:sz w:val="21"/>
                <w:szCs w:val="21"/>
              </w:rPr>
              <w:br/>
            </w:r>
            <w:r w:rsidRPr="00AD5089">
              <w:rPr>
                <w:rFonts w:asciiTheme="minorHAnsi" w:hAnsiTheme="minorHAnsi" w:cs="Helvetica"/>
                <w:color w:val="283C46"/>
                <w:sz w:val="21"/>
                <w:szCs w:val="21"/>
              </w:rPr>
              <w:br/>
              <w:t xml:space="preserve">For the NOFA, go </w:t>
            </w:r>
            <w:hyperlink r:id="rId17" w:history="1">
              <w:r w:rsidRPr="00AD5089">
                <w:rPr>
                  <w:rStyle w:val="Hyperlink"/>
                  <w:rFonts w:asciiTheme="minorHAnsi" w:hAnsiTheme="minorHAnsi" w:cs="Arial"/>
                  <w:color w:val="2886FF"/>
                  <w:sz w:val="21"/>
                  <w:szCs w:val="21"/>
                </w:rPr>
                <w:t>here</w:t>
              </w:r>
            </w:hyperlink>
            <w:r>
              <w:rPr>
                <w:rFonts w:asciiTheme="minorHAnsi" w:hAnsiTheme="minorHAnsi" w:cs="Helvetica"/>
                <w:color w:val="283C46"/>
                <w:sz w:val="21"/>
                <w:szCs w:val="21"/>
              </w:rPr>
              <w:t>.</w:t>
            </w:r>
            <w:r w:rsidRPr="00AD5089">
              <w:rPr>
                <w:rFonts w:asciiTheme="minorHAnsi" w:hAnsiTheme="minorHAnsi" w:cs="Helvetica"/>
                <w:color w:val="283C46"/>
                <w:sz w:val="21"/>
                <w:szCs w:val="21"/>
              </w:rPr>
              <w:t> </w:t>
            </w:r>
            <w:r w:rsidRPr="00AD5089">
              <w:rPr>
                <w:rStyle w:val="Hyperlink"/>
                <w:rFonts w:cs="Arial"/>
                <w:color w:val="2886FF"/>
              </w:rPr>
              <w:t xml:space="preserve"> </w:t>
            </w:r>
          </w:p>
        </w:tc>
      </w:tr>
    </w:tbl>
    <w:p w:rsidR="00AD5089" w:rsidRDefault="00AD5089" w:rsidP="00A93D6C">
      <w:pPr>
        <w:keepNext/>
        <w:rPr>
          <w:rFonts w:asciiTheme="minorHAnsi" w:hAnsiTheme="minorHAnsi"/>
          <w:sz w:val="20"/>
          <w:szCs w:val="20"/>
        </w:rPr>
      </w:pPr>
    </w:p>
    <w:p w:rsidR="00BD3CB4" w:rsidRDefault="00BD3CB4" w:rsidP="00A93D6C">
      <w:pPr>
        <w:keepNext/>
        <w:rPr>
          <w:rFonts w:asciiTheme="minorHAnsi" w:hAnsiTheme="minorHAnsi"/>
          <w:sz w:val="20"/>
          <w:szCs w:val="20"/>
        </w:rPr>
      </w:pPr>
    </w:p>
    <w:p w:rsidR="00BD3CB4" w:rsidRDefault="00BD3CB4" w:rsidP="00A93D6C">
      <w:pPr>
        <w:keepNext/>
        <w:rPr>
          <w:rFonts w:asciiTheme="minorHAnsi" w:hAnsiTheme="minorHAnsi"/>
          <w:sz w:val="20"/>
          <w:szCs w:val="20"/>
        </w:rPr>
      </w:pPr>
    </w:p>
    <w:p w:rsidR="00BD3CB4" w:rsidRDefault="00BD3CB4" w:rsidP="00A93D6C">
      <w:pPr>
        <w:keepNext/>
        <w:rPr>
          <w:rFonts w:asciiTheme="minorHAnsi" w:hAnsiTheme="minorHAnsi"/>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1A1CA4" w:rsidTr="00B06C03">
        <w:tc>
          <w:tcPr>
            <w:tcW w:w="9350" w:type="dxa"/>
          </w:tcPr>
          <w:p w:rsidR="001A1CA4" w:rsidRPr="00BD3CB4" w:rsidRDefault="001A1CA4" w:rsidP="001A1CA4">
            <w:pPr>
              <w:jc w:val="center"/>
              <w:rPr>
                <w:rFonts w:asciiTheme="minorHAnsi" w:hAnsiTheme="minorHAnsi"/>
                <w:b/>
                <w:szCs w:val="21"/>
                <w:u w:val="single"/>
              </w:rPr>
            </w:pPr>
            <w:r w:rsidRPr="00BD3CB4">
              <w:rPr>
                <w:rFonts w:asciiTheme="minorHAnsi" w:hAnsiTheme="minorHAnsi"/>
                <w:b/>
                <w:szCs w:val="21"/>
                <w:u w:val="single"/>
              </w:rPr>
              <w:t>Funding: HUD's Section 811 Supportive Housing for Persons with Disabilities Capital Advance</w:t>
            </w:r>
          </w:p>
          <w:p w:rsidR="001A1CA4" w:rsidRPr="001A1CA4" w:rsidRDefault="001A1CA4" w:rsidP="001A1CA4">
            <w:pPr>
              <w:rPr>
                <w:rFonts w:asciiTheme="minorHAnsi" w:hAnsiTheme="minorHAnsi"/>
                <w:sz w:val="21"/>
                <w:szCs w:val="21"/>
              </w:rPr>
            </w:pPr>
            <w:r w:rsidRPr="001A1CA4">
              <w:rPr>
                <w:rFonts w:asciiTheme="minorHAnsi" w:hAnsiTheme="minorHAnsi"/>
                <w:sz w:val="21"/>
                <w:szCs w:val="21"/>
              </w:rPr>
              <w:t xml:space="preserve"> </w:t>
            </w:r>
          </w:p>
          <w:p w:rsidR="001A1CA4" w:rsidRPr="001A1CA4" w:rsidRDefault="001A1CA4" w:rsidP="001A1CA4">
            <w:pPr>
              <w:jc w:val="both"/>
              <w:rPr>
                <w:rFonts w:asciiTheme="minorHAnsi" w:hAnsiTheme="minorHAnsi"/>
                <w:sz w:val="21"/>
                <w:szCs w:val="21"/>
              </w:rPr>
            </w:pPr>
            <w:r w:rsidRPr="001A1CA4">
              <w:rPr>
                <w:rFonts w:asciiTheme="minorHAnsi" w:hAnsiTheme="minorHAnsi"/>
                <w:sz w:val="21"/>
                <w:szCs w:val="21"/>
              </w:rPr>
              <w:t>The Section 811 Supportive Housing for Persons with Disabilities Program aims to expand the supply of integrated affordable housing by providing Capital Advance funding for the development of permanent supportive rental housing for very-low-income persons with disabilities age 18 years or older. The program also provides project rental subsidies in the form of a Project Rental Assistance Contract (PRAC) to maintain ongoing affordability over the next forty years. These units provide persons with disabilities the opportunity to live with dignity and independence within the community in an integrated environment that provides access to appropriate and voluntary supportive services. Eligible applicants are nonprofit organizations.</w:t>
            </w:r>
          </w:p>
          <w:p w:rsidR="001A1CA4" w:rsidRPr="001A1CA4" w:rsidRDefault="001A1CA4" w:rsidP="001A1CA4">
            <w:pPr>
              <w:jc w:val="both"/>
              <w:rPr>
                <w:rFonts w:asciiTheme="minorHAnsi" w:hAnsiTheme="minorHAnsi"/>
                <w:sz w:val="21"/>
                <w:szCs w:val="21"/>
              </w:rPr>
            </w:pPr>
            <w:r w:rsidRPr="001A1CA4">
              <w:rPr>
                <w:rFonts w:asciiTheme="minorHAnsi" w:hAnsiTheme="minorHAnsi"/>
                <w:sz w:val="21"/>
                <w:szCs w:val="21"/>
              </w:rPr>
              <w:t xml:space="preserve"> </w:t>
            </w:r>
          </w:p>
          <w:p w:rsidR="001A1CA4" w:rsidRPr="001A1CA4" w:rsidRDefault="001A1CA4" w:rsidP="001A1CA4">
            <w:pPr>
              <w:jc w:val="both"/>
              <w:rPr>
                <w:rFonts w:asciiTheme="minorHAnsi" w:hAnsiTheme="minorHAnsi"/>
                <w:sz w:val="21"/>
                <w:szCs w:val="21"/>
              </w:rPr>
            </w:pPr>
            <w:r w:rsidRPr="001A1CA4">
              <w:rPr>
                <w:rFonts w:asciiTheme="minorHAnsi" w:hAnsiTheme="minorHAnsi"/>
                <w:sz w:val="21"/>
                <w:szCs w:val="21"/>
              </w:rPr>
              <w:t xml:space="preserve"> Funding of up to $75,000,000 is available through this NOFA. HUD expects to make approximately 25-30 awards from the funds available. The precise number of awards will </w:t>
            </w:r>
            <w:r w:rsidRPr="001A1CA4">
              <w:rPr>
                <w:rFonts w:asciiTheme="minorHAnsi" w:hAnsiTheme="minorHAnsi"/>
                <w:sz w:val="21"/>
                <w:szCs w:val="21"/>
              </w:rPr>
              <w:lastRenderedPageBreak/>
              <w:t xml:space="preserve">depend on the eligible proposals. </w:t>
            </w:r>
            <w:r w:rsidRPr="001A1CA4">
              <w:rPr>
                <w:rFonts w:asciiTheme="minorHAnsi" w:hAnsiTheme="minorHAnsi"/>
                <w:b/>
                <w:sz w:val="21"/>
                <w:szCs w:val="21"/>
              </w:rPr>
              <w:t>HUD has extended the NOFA's closing date to March 10, 2020</w:t>
            </w:r>
            <w:r w:rsidRPr="001A1CA4">
              <w:rPr>
                <w:rFonts w:asciiTheme="minorHAnsi" w:hAnsiTheme="minorHAnsi"/>
                <w:sz w:val="21"/>
                <w:szCs w:val="21"/>
              </w:rPr>
              <w:t>.</w:t>
            </w:r>
          </w:p>
          <w:p w:rsidR="001A1CA4" w:rsidRPr="001A1CA4" w:rsidRDefault="001A1CA4" w:rsidP="001A1CA4">
            <w:pPr>
              <w:jc w:val="both"/>
              <w:rPr>
                <w:rFonts w:asciiTheme="minorHAnsi" w:hAnsiTheme="minorHAnsi"/>
                <w:sz w:val="21"/>
                <w:szCs w:val="21"/>
              </w:rPr>
            </w:pPr>
            <w:r w:rsidRPr="001A1CA4">
              <w:rPr>
                <w:rFonts w:asciiTheme="minorHAnsi" w:hAnsiTheme="minorHAnsi"/>
                <w:sz w:val="21"/>
                <w:szCs w:val="21"/>
              </w:rPr>
              <w:t xml:space="preserve"> </w:t>
            </w:r>
          </w:p>
          <w:p w:rsidR="001A1CA4" w:rsidRPr="001A1CA4" w:rsidRDefault="001A1CA4" w:rsidP="001A1CA4">
            <w:pPr>
              <w:rPr>
                <w:rStyle w:val="Hyperlink"/>
                <w:rFonts w:cs="Arial"/>
                <w:color w:val="2886FF"/>
              </w:rPr>
            </w:pPr>
            <w:r w:rsidRPr="001A1CA4">
              <w:rPr>
                <w:rFonts w:asciiTheme="minorHAnsi" w:hAnsiTheme="minorHAnsi"/>
                <w:sz w:val="21"/>
                <w:szCs w:val="21"/>
              </w:rPr>
              <w:t xml:space="preserve"> For more information, visit </w:t>
            </w:r>
            <w:hyperlink r:id="rId18" w:history="1">
              <w:r w:rsidRPr="001A1CA4">
                <w:rPr>
                  <w:rStyle w:val="Hyperlink"/>
                  <w:rFonts w:asciiTheme="minorHAnsi" w:hAnsiTheme="minorHAnsi" w:cs="Arial"/>
                  <w:color w:val="2886FF"/>
                  <w:sz w:val="21"/>
                  <w:szCs w:val="21"/>
                </w:rPr>
                <w:t>https://www.hud.gov/program_offices/spm/gmomgmt/grantsinfo/fundingopps/fy2019_section811_capadvance</w:t>
              </w:r>
            </w:hyperlink>
            <w:r w:rsidRPr="001A1CA4">
              <w:rPr>
                <w:rStyle w:val="Hyperlink"/>
                <w:rFonts w:cs="Arial"/>
                <w:color w:val="2886FF"/>
              </w:rPr>
              <w:t>.</w:t>
            </w:r>
          </w:p>
          <w:p w:rsidR="001A1CA4" w:rsidRDefault="001A1CA4">
            <w:pPr>
              <w:rPr>
                <w:rFonts w:asciiTheme="minorHAnsi" w:hAnsiTheme="minorHAnsi"/>
                <w:sz w:val="20"/>
                <w:szCs w:val="20"/>
              </w:rPr>
            </w:pPr>
          </w:p>
        </w:tc>
      </w:tr>
    </w:tbl>
    <w:p w:rsidR="007F6EBD" w:rsidRDefault="007F6EBD">
      <w:pPr>
        <w:rPr>
          <w:rFonts w:asciiTheme="minorHAnsi" w:hAnsiTheme="minorHAnsi"/>
          <w:sz w:val="20"/>
          <w:szCs w:val="20"/>
        </w:rPr>
      </w:pPr>
    </w:p>
    <w:p w:rsidR="001A1CA4" w:rsidRDefault="001A1CA4">
      <w:pPr>
        <w:rPr>
          <w:rFonts w:asciiTheme="minorHAnsi" w:hAnsiTheme="minorHAnsi"/>
          <w:sz w:val="20"/>
          <w:szCs w:val="20"/>
        </w:rPr>
      </w:pPr>
    </w:p>
    <w:p w:rsidR="001A1CA4" w:rsidRDefault="001A1CA4">
      <w:pPr>
        <w:rPr>
          <w:rFonts w:asciiTheme="minorHAnsi" w:hAnsiTheme="minorHAnsi"/>
          <w:sz w:val="20"/>
          <w:szCs w:val="20"/>
        </w:rPr>
      </w:pPr>
    </w:p>
    <w:p w:rsidR="001A1CA4" w:rsidRDefault="001A1CA4">
      <w:pPr>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350"/>
      </w:tblGrid>
      <w:tr w:rsidR="00A44E8C" w:rsidRPr="00AD5089" w:rsidTr="00B06C03">
        <w:tc>
          <w:tcPr>
            <w:tcW w:w="0" w:type="auto"/>
            <w:tcMar>
              <w:top w:w="150" w:type="dxa"/>
              <w:left w:w="300" w:type="dxa"/>
              <w:bottom w:w="150" w:type="dxa"/>
              <w:right w:w="300" w:type="dxa"/>
            </w:tcMar>
            <w:hideMark/>
          </w:tcPr>
          <w:p w:rsidR="00A44E8C" w:rsidRPr="00A44E8C" w:rsidRDefault="00A44E8C" w:rsidP="00A44E8C">
            <w:pPr>
              <w:jc w:val="center"/>
              <w:rPr>
                <w:rFonts w:asciiTheme="minorHAnsi" w:hAnsiTheme="minorHAnsi"/>
                <w:b/>
                <w:szCs w:val="21"/>
                <w:u w:val="single"/>
              </w:rPr>
            </w:pPr>
            <w:r w:rsidRPr="00A44E8C">
              <w:rPr>
                <w:rFonts w:asciiTheme="minorHAnsi" w:hAnsiTheme="minorHAnsi"/>
                <w:b/>
                <w:szCs w:val="21"/>
                <w:u w:val="single"/>
              </w:rPr>
              <w:t>Texas Housing Trust Fund (HTF) for Fiscal Years 2020 and 2021</w:t>
            </w:r>
          </w:p>
          <w:p w:rsidR="00A44E8C" w:rsidRPr="00A44E8C" w:rsidRDefault="00A44E8C" w:rsidP="00A44E8C">
            <w:pPr>
              <w:rPr>
                <w:rFonts w:asciiTheme="minorHAnsi" w:hAnsiTheme="minorHAnsi"/>
                <w:sz w:val="21"/>
                <w:szCs w:val="21"/>
              </w:rPr>
            </w:pPr>
          </w:p>
          <w:p w:rsidR="00A44E8C" w:rsidRPr="00A44E8C" w:rsidRDefault="00A44E8C" w:rsidP="00A44E8C">
            <w:pPr>
              <w:rPr>
                <w:rFonts w:asciiTheme="minorHAnsi" w:hAnsiTheme="minorHAnsi"/>
                <w:sz w:val="21"/>
                <w:szCs w:val="21"/>
              </w:rPr>
            </w:pPr>
            <w:r w:rsidRPr="00A44E8C">
              <w:rPr>
                <w:rFonts w:asciiTheme="minorHAnsi" w:hAnsiTheme="minorHAnsi"/>
                <w:sz w:val="21"/>
                <w:szCs w:val="21"/>
              </w:rPr>
              <w:t>The Texas Department of Housing and Community Affairs (the Department) announces $6,430,382.52 from the Texas Housing Trust Fund (HTF) for Fiscal Years 2020 and 2021 of the Texas Bootstrap Loan Program. The Texas Bootstrap Loan Program is funded through the Housing Trust Fund and established in Texas Government Code, §2306 Subchapter FF, Owner-Builder Loan Program, to provide very low-income households (Owner-Builders) an opportunity to purchase or refinance real property on which to build new housing or repair their existing homes through sweat-equity.</w:t>
            </w:r>
            <w:r w:rsidRPr="00A44E8C">
              <w:rPr>
                <w:rFonts w:asciiTheme="minorHAnsi" w:hAnsiTheme="minorHAnsi"/>
                <w:sz w:val="21"/>
                <w:szCs w:val="21"/>
              </w:rPr>
              <w:br/>
            </w:r>
            <w:r w:rsidRPr="00A44E8C">
              <w:rPr>
                <w:rFonts w:asciiTheme="minorHAnsi" w:hAnsiTheme="minorHAnsi"/>
                <w:sz w:val="21"/>
                <w:szCs w:val="21"/>
              </w:rPr>
              <w:br/>
              <w:t>The funding will be available beginning Thursday, January 16, 2020, at 9:30 a.m. Austin local time through an online reservation system for eligible Nonprofit Owner-Builder Housing Providers (NOHPs) and Colonia Self-Help Centers (CSHCs) to reserve funds on behalf of eligible Owner-Builders.</w:t>
            </w:r>
            <w:r w:rsidRPr="00A44E8C">
              <w:rPr>
                <w:rFonts w:asciiTheme="minorHAnsi" w:hAnsiTheme="minorHAnsi"/>
                <w:sz w:val="21"/>
                <w:szCs w:val="21"/>
              </w:rPr>
              <w:br/>
            </w:r>
          </w:p>
          <w:p w:rsidR="00A44E8C" w:rsidRPr="00A44E8C" w:rsidRDefault="00A44E8C" w:rsidP="00A44E8C">
            <w:pPr>
              <w:rPr>
                <w:rFonts w:asciiTheme="minorHAnsi" w:hAnsiTheme="minorHAnsi"/>
                <w:sz w:val="21"/>
                <w:szCs w:val="21"/>
              </w:rPr>
            </w:pPr>
            <w:r w:rsidRPr="00A44E8C">
              <w:rPr>
                <w:rFonts w:asciiTheme="minorHAnsi" w:hAnsiTheme="minorHAnsi"/>
                <w:sz w:val="21"/>
                <w:szCs w:val="21"/>
              </w:rPr>
              <w:t>The Texas Bootstrap Loan Program provides 0% interest loans of up to $45,000 to Owner-Builders who provide at least 65% of the labor necessary to build or rehabilitate their housing by working with a state-certified NOHP or CSHC. Owner-builder's household income may not exceed 60% of Area Median Family Income.</w:t>
            </w:r>
            <w:r w:rsidRPr="00A44E8C">
              <w:rPr>
                <w:rFonts w:asciiTheme="minorHAnsi" w:hAnsiTheme="minorHAnsi"/>
                <w:sz w:val="21"/>
                <w:szCs w:val="21"/>
              </w:rPr>
              <w:br/>
            </w:r>
          </w:p>
          <w:p w:rsidR="00A44E8C" w:rsidRDefault="00A44E8C" w:rsidP="00A44E8C">
            <w:pPr>
              <w:rPr>
                <w:rFonts w:asciiTheme="minorHAnsi" w:hAnsiTheme="minorHAnsi"/>
                <w:sz w:val="21"/>
                <w:szCs w:val="21"/>
              </w:rPr>
            </w:pPr>
            <w:r w:rsidRPr="00A44E8C">
              <w:rPr>
                <w:rFonts w:asciiTheme="minorHAnsi" w:hAnsiTheme="minorHAnsi"/>
                <w:sz w:val="21"/>
                <w:szCs w:val="21"/>
              </w:rPr>
              <w:t>Eligible nonprofit organizations and CSHCs must first apply to become certified NOHPs in order to administer the Texas Bootstrap Loan Program. To be able to reserve Program funds on behalf of an Owner-Builder, the entities must execute a Reservation System Agreement with the Department.</w:t>
            </w:r>
            <w:r w:rsidRPr="00A44E8C">
              <w:rPr>
                <w:rFonts w:asciiTheme="minorHAnsi" w:hAnsiTheme="minorHAnsi"/>
                <w:sz w:val="21"/>
                <w:szCs w:val="21"/>
              </w:rPr>
              <w:br/>
            </w:r>
            <w:r w:rsidRPr="00A44E8C">
              <w:rPr>
                <w:rFonts w:asciiTheme="minorHAnsi" w:hAnsiTheme="minorHAnsi"/>
                <w:sz w:val="21"/>
                <w:szCs w:val="21"/>
              </w:rPr>
              <w:br/>
              <w:t xml:space="preserve">For more information, go to the </w:t>
            </w:r>
            <w:hyperlink r:id="rId19" w:history="1">
              <w:r w:rsidRPr="00A44E8C">
                <w:rPr>
                  <w:rStyle w:val="Hyperlink"/>
                  <w:rFonts w:asciiTheme="minorHAnsi" w:hAnsiTheme="minorHAnsi" w:cs="Arial"/>
                  <w:color w:val="2886FF"/>
                  <w:sz w:val="21"/>
                  <w:szCs w:val="21"/>
                </w:rPr>
                <w:t>homepage</w:t>
              </w:r>
            </w:hyperlink>
            <w:r w:rsidRPr="00A44E8C">
              <w:rPr>
                <w:rFonts w:asciiTheme="minorHAnsi" w:hAnsiTheme="minorHAnsi"/>
                <w:sz w:val="21"/>
                <w:szCs w:val="21"/>
              </w:rPr>
              <w:t>.</w:t>
            </w:r>
            <w:r w:rsidRPr="00A44E8C">
              <w:rPr>
                <w:rFonts w:asciiTheme="minorHAnsi" w:hAnsiTheme="minorHAnsi"/>
                <w:sz w:val="21"/>
                <w:szCs w:val="21"/>
              </w:rPr>
              <w:br/>
            </w:r>
            <w:r w:rsidRPr="00A44E8C">
              <w:rPr>
                <w:rFonts w:asciiTheme="minorHAnsi" w:hAnsiTheme="minorHAnsi"/>
                <w:sz w:val="21"/>
                <w:szCs w:val="21"/>
              </w:rPr>
              <w:br/>
              <w:t xml:space="preserve">For the NOFA, go </w:t>
            </w:r>
            <w:hyperlink r:id="rId20" w:history="1">
              <w:r w:rsidRPr="00A44E8C">
                <w:rPr>
                  <w:rStyle w:val="Hyperlink"/>
                  <w:rFonts w:asciiTheme="minorHAnsi" w:hAnsiTheme="minorHAnsi" w:cs="Arial"/>
                  <w:color w:val="2886FF"/>
                  <w:sz w:val="21"/>
                  <w:szCs w:val="21"/>
                </w:rPr>
                <w:t>here</w:t>
              </w:r>
            </w:hyperlink>
            <w:r>
              <w:rPr>
                <w:rFonts w:asciiTheme="minorHAnsi" w:hAnsiTheme="minorHAnsi"/>
                <w:sz w:val="21"/>
                <w:szCs w:val="21"/>
              </w:rPr>
              <w:t>.</w:t>
            </w:r>
          </w:p>
          <w:p w:rsidR="00A44E8C" w:rsidRDefault="00A44E8C" w:rsidP="00A44E8C">
            <w:pPr>
              <w:rPr>
                <w:rFonts w:asciiTheme="minorHAnsi" w:hAnsiTheme="minorHAnsi"/>
                <w:sz w:val="21"/>
                <w:szCs w:val="21"/>
              </w:rPr>
            </w:pPr>
          </w:p>
          <w:p w:rsidR="00A44E8C" w:rsidRPr="00A44E8C" w:rsidRDefault="00A44E8C" w:rsidP="00A44E8C">
            <w:pPr>
              <w:rPr>
                <w:rFonts w:asciiTheme="minorHAnsi" w:hAnsiTheme="minorHAnsi" w:cs="Arial"/>
                <w:b/>
                <w:color w:val="000000"/>
                <w:sz w:val="21"/>
                <w:szCs w:val="21"/>
              </w:rPr>
            </w:pPr>
            <w:r w:rsidRPr="00A44E8C">
              <w:rPr>
                <w:rFonts w:asciiTheme="minorHAnsi" w:hAnsiTheme="minorHAnsi" w:cs="Arial"/>
                <w:b/>
                <w:color w:val="000000"/>
                <w:sz w:val="21"/>
                <w:szCs w:val="21"/>
              </w:rPr>
              <w:t xml:space="preserve">Monday, August 31, 2020: Applications for funding under FY 2020 will be accepted </w:t>
            </w:r>
          </w:p>
          <w:p w:rsidR="00A44E8C" w:rsidRPr="00AD5089" w:rsidRDefault="00A44E8C" w:rsidP="00A44E8C">
            <w:pPr>
              <w:rPr>
                <w:rFonts w:asciiTheme="minorHAnsi" w:hAnsiTheme="minorHAnsi" w:cs="Arial"/>
                <w:color w:val="000000"/>
                <w:sz w:val="21"/>
                <w:szCs w:val="21"/>
              </w:rPr>
            </w:pPr>
            <w:r w:rsidRPr="00A44E8C">
              <w:rPr>
                <w:rFonts w:asciiTheme="minorHAnsi" w:hAnsiTheme="minorHAnsi" w:cs="Arial"/>
                <w:b/>
                <w:color w:val="000000"/>
                <w:sz w:val="21"/>
                <w:szCs w:val="21"/>
              </w:rPr>
              <w:t>until this date, or until all funding has been reserved</w:t>
            </w:r>
          </w:p>
        </w:tc>
      </w:tr>
    </w:tbl>
    <w:p w:rsidR="00A44E8C" w:rsidRDefault="00A44E8C" w:rsidP="00A93D6C">
      <w:pPr>
        <w:keepNext/>
        <w:rPr>
          <w:rFonts w:asciiTheme="minorHAnsi" w:hAnsiTheme="minorHAnsi"/>
          <w:sz w:val="20"/>
          <w:szCs w:val="20"/>
        </w:rPr>
      </w:pPr>
    </w:p>
    <w:p w:rsidR="00A44E8C" w:rsidRPr="00AD5089" w:rsidRDefault="00A44E8C" w:rsidP="00A93D6C">
      <w:pPr>
        <w:keepNext/>
        <w:rPr>
          <w:rFonts w:asciiTheme="minorHAnsi" w:hAnsiTheme="minorHAnsi"/>
          <w:sz w:val="20"/>
          <w:szCs w:val="20"/>
        </w:rPr>
      </w:pPr>
    </w:p>
    <w:sectPr w:rsidR="00A44E8C" w:rsidRPr="00AD5089" w:rsidSect="00F94BDF">
      <w:footerReference w:type="default" r:id="rId21"/>
      <w:headerReference w:type="first" r:id="rId22"/>
      <w:foot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289" w:rsidRDefault="00CB7289" w:rsidP="00536078">
      <w:r>
        <w:separator/>
      </w:r>
    </w:p>
  </w:endnote>
  <w:endnote w:type="continuationSeparator" w:id="0">
    <w:p w:rsidR="00CB7289" w:rsidRDefault="00CB7289" w:rsidP="0053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6FEF81A1-C3A0-43A2-8EED-93DB10246CE6}"/>
    <w:embedBold r:id="rId2" w:fontKey="{6F6ACEF3-1E32-4302-8BF5-AEC15946E3C0}"/>
  </w:font>
  <w:font w:name="Segoe UI">
    <w:panose1 w:val="020B0502040204020203"/>
    <w:charset w:val="00"/>
    <w:family w:val="swiss"/>
    <w:pitch w:val="variable"/>
    <w:sig w:usb0="E4002EFF" w:usb1="C000E47F" w:usb2="00000009" w:usb3="00000000" w:csb0="000001FF" w:csb1="00000000"/>
    <w:embedRegular r:id="rId3" w:fontKey="{EB137D31-DB5C-48B6-B86F-B381924CDDDC}"/>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embedRegular r:id="rId4" w:fontKey="{B75D68C8-D24F-4BF9-9E38-E9C69DA83E86}"/>
    <w:embedBold r:id="rId5" w:fontKey="{1AABC072-D6A2-4680-9477-D62F53F35E58}"/>
  </w:font>
  <w:font w:name="Helvetica">
    <w:panose1 w:val="020B0604020202020204"/>
    <w:charset w:val="00"/>
    <w:family w:val="swiss"/>
    <w:pitch w:val="variable"/>
    <w:sig w:usb0="E0002EFF" w:usb1="C000785B" w:usb2="00000009" w:usb3="00000000" w:csb0="000001FF" w:csb1="00000000"/>
    <w:embedRegular r:id="rId6" w:fontKey="{1EBE1BCA-BD81-4594-91F4-1CF4087DFEC7}"/>
  </w:font>
  <w:font w:name="Playfair Display Black">
    <w:panose1 w:val="00000A00000000000000"/>
    <w:charset w:val="00"/>
    <w:family w:val="auto"/>
    <w:pitch w:val="variable"/>
    <w:sig w:usb0="00000207" w:usb1="00000000" w:usb2="00000000" w:usb3="00000000" w:csb0="00000097" w:csb1="00000000"/>
    <w:embedRegular r:id="rId7" w:fontKey="{BE5E15C7-A783-48D0-A52F-34FA6B4700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6F2" w:rsidRPr="00CB7289" w:rsidRDefault="001036F2" w:rsidP="001036F2">
    <w:pPr>
      <w:pStyle w:val="Footer"/>
      <w:jc w:val="center"/>
      <w:rPr>
        <w:rFonts w:ascii="Raleway" w:hAnsi="Raleway"/>
        <w:color w:val="003D79"/>
      </w:rPr>
    </w:pPr>
    <w:r w:rsidRPr="00CB7289">
      <w:rPr>
        <w:rFonts w:ascii="Raleway" w:hAnsi="Raleway"/>
        <w:color w:val="003D79"/>
      </w:rPr>
      <w:t xml:space="preserve">1713 </w:t>
    </w:r>
    <w:proofErr w:type="spellStart"/>
    <w:r w:rsidRPr="00CB7289">
      <w:rPr>
        <w:rFonts w:ascii="Raleway" w:hAnsi="Raleway"/>
        <w:color w:val="003D79"/>
      </w:rPr>
      <w:t>Fortview</w:t>
    </w:r>
    <w:proofErr w:type="spellEnd"/>
    <w:r w:rsidRPr="00CB7289">
      <w:rPr>
        <w:rFonts w:ascii="Raleway" w:hAnsi="Raleway"/>
        <w:color w:val="003D79"/>
      </w:rPr>
      <w:t xml:space="preserve"> Road, Austin, </w:t>
    </w:r>
    <w:r w:rsidR="00A93D6C" w:rsidRPr="00CB7289">
      <w:rPr>
        <w:rFonts w:ascii="Raleway" w:hAnsi="Raleway"/>
        <w:color w:val="003D79"/>
      </w:rPr>
      <w:t>TX</w:t>
    </w:r>
    <w:r w:rsidRPr="00CB7289">
      <w:rPr>
        <w:rFonts w:ascii="Raleway" w:hAnsi="Raleway"/>
        <w:color w:val="003D79"/>
      </w:rPr>
      <w:t xml:space="preserve">, 78704 | </w:t>
    </w:r>
    <w:hyperlink r:id="rId1" w:history="1">
      <w:r w:rsidRPr="00CB7289">
        <w:rPr>
          <w:rStyle w:val="Hyperlink"/>
          <w:rFonts w:ascii="Raleway" w:hAnsi="Raleway"/>
        </w:rPr>
        <w:t>www.thn.org</w:t>
      </w:r>
    </w:hyperlink>
    <w:r w:rsidRPr="00CB7289">
      <w:rPr>
        <w:rFonts w:ascii="Raleway" w:hAnsi="Raleway"/>
        <w:color w:val="003D79"/>
      </w:rPr>
      <w:t xml:space="preserve"> | 512.482.8270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887" w:rsidRPr="00CB7289" w:rsidRDefault="00B40887" w:rsidP="00B40887">
    <w:pPr>
      <w:pStyle w:val="Footer"/>
      <w:jc w:val="center"/>
      <w:rPr>
        <w:rFonts w:ascii="Raleway" w:hAnsi="Raleway"/>
        <w:color w:val="003D79"/>
      </w:rPr>
    </w:pPr>
    <w:r w:rsidRPr="00CB7289">
      <w:rPr>
        <w:rFonts w:ascii="Raleway" w:hAnsi="Raleway"/>
        <w:color w:val="003D79"/>
      </w:rPr>
      <w:t xml:space="preserve">1713 </w:t>
    </w:r>
    <w:proofErr w:type="spellStart"/>
    <w:r w:rsidRPr="00CB7289">
      <w:rPr>
        <w:rFonts w:ascii="Raleway" w:hAnsi="Raleway"/>
        <w:color w:val="003D79"/>
      </w:rPr>
      <w:t>Fortview</w:t>
    </w:r>
    <w:proofErr w:type="spellEnd"/>
    <w:r w:rsidRPr="00CB7289">
      <w:rPr>
        <w:rFonts w:ascii="Raleway" w:hAnsi="Raleway"/>
        <w:color w:val="003D79"/>
      </w:rPr>
      <w:t xml:space="preserve"> Road, Austin, </w:t>
    </w:r>
    <w:r w:rsidR="00A93D6C" w:rsidRPr="00CB7289">
      <w:rPr>
        <w:rFonts w:ascii="Raleway" w:hAnsi="Raleway"/>
        <w:color w:val="003D79"/>
      </w:rPr>
      <w:t>TX</w:t>
    </w:r>
    <w:r w:rsidRPr="00CB7289">
      <w:rPr>
        <w:rFonts w:ascii="Raleway" w:hAnsi="Raleway"/>
        <w:color w:val="003D79"/>
      </w:rPr>
      <w:t xml:space="preserve">, 78704 | </w:t>
    </w:r>
    <w:hyperlink r:id="rId1" w:history="1">
      <w:r w:rsidRPr="00CB7289">
        <w:rPr>
          <w:rStyle w:val="Hyperlink"/>
          <w:rFonts w:ascii="Raleway" w:hAnsi="Raleway"/>
        </w:rPr>
        <w:t>www.thn.org</w:t>
      </w:r>
    </w:hyperlink>
    <w:r w:rsidRPr="00CB7289">
      <w:rPr>
        <w:rFonts w:ascii="Raleway" w:hAnsi="Raleway"/>
        <w:color w:val="003D79"/>
      </w:rPr>
      <w:t xml:space="preserve"> | 512.482.8270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289" w:rsidRDefault="00CB7289" w:rsidP="00536078">
      <w:r>
        <w:separator/>
      </w:r>
    </w:p>
  </w:footnote>
  <w:footnote w:type="continuationSeparator" w:id="0">
    <w:p w:rsidR="00CB7289" w:rsidRDefault="00CB7289" w:rsidP="00536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BBD" w:rsidRDefault="00DF7CA6">
    <w:pPr>
      <w:pStyle w:val="Header"/>
    </w:pPr>
    <w:r>
      <w:rPr>
        <w:noProof/>
      </w:rPr>
      <w:drawing>
        <wp:anchor distT="0" distB="0" distL="114300" distR="114300" simplePos="0" relativeHeight="251658240" behindDoc="1" locked="0" layoutInCell="1" allowOverlap="1">
          <wp:simplePos x="0" y="0"/>
          <wp:positionH relativeFrom="column">
            <wp:posOffset>1647825</wp:posOffset>
          </wp:positionH>
          <wp:positionV relativeFrom="paragraph">
            <wp:posOffset>-342900</wp:posOffset>
          </wp:positionV>
          <wp:extent cx="2771775" cy="833755"/>
          <wp:effectExtent l="0" t="0" r="952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833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522EC"/>
    <w:multiLevelType w:val="multilevel"/>
    <w:tmpl w:val="F93A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12A82"/>
    <w:multiLevelType w:val="multilevel"/>
    <w:tmpl w:val="0E38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EE1874"/>
    <w:multiLevelType w:val="hybridMultilevel"/>
    <w:tmpl w:val="B28E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AB2D73"/>
    <w:multiLevelType w:val="multilevel"/>
    <w:tmpl w:val="B3B81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IwMja2NDExs7QwNrJU0lEKTi0uzszPAykwrAUAN4LVMCwAAAA="/>
  </w:docVars>
  <w:rsids>
    <w:rsidRoot w:val="00CB7289"/>
    <w:rsid w:val="00034846"/>
    <w:rsid w:val="000517B7"/>
    <w:rsid w:val="0007747B"/>
    <w:rsid w:val="00094BF0"/>
    <w:rsid w:val="001036F2"/>
    <w:rsid w:val="001777A5"/>
    <w:rsid w:val="001A1CA4"/>
    <w:rsid w:val="001F0117"/>
    <w:rsid w:val="00223036"/>
    <w:rsid w:val="002B61B5"/>
    <w:rsid w:val="002C60AC"/>
    <w:rsid w:val="00303774"/>
    <w:rsid w:val="00355A59"/>
    <w:rsid w:val="0038624F"/>
    <w:rsid w:val="003A1352"/>
    <w:rsid w:val="003A1600"/>
    <w:rsid w:val="003D3C89"/>
    <w:rsid w:val="004A3CB9"/>
    <w:rsid w:val="004B345E"/>
    <w:rsid w:val="004B442C"/>
    <w:rsid w:val="004C6F76"/>
    <w:rsid w:val="00522185"/>
    <w:rsid w:val="00536078"/>
    <w:rsid w:val="005C7792"/>
    <w:rsid w:val="005C7B76"/>
    <w:rsid w:val="005E18D9"/>
    <w:rsid w:val="006017B0"/>
    <w:rsid w:val="006308B1"/>
    <w:rsid w:val="0066131E"/>
    <w:rsid w:val="00692BAA"/>
    <w:rsid w:val="007502DB"/>
    <w:rsid w:val="007D5D13"/>
    <w:rsid w:val="007F6EBD"/>
    <w:rsid w:val="008B74BD"/>
    <w:rsid w:val="0093028F"/>
    <w:rsid w:val="0098525D"/>
    <w:rsid w:val="009D26A8"/>
    <w:rsid w:val="009D42AC"/>
    <w:rsid w:val="009F2DC4"/>
    <w:rsid w:val="00A44E8C"/>
    <w:rsid w:val="00A66BBD"/>
    <w:rsid w:val="00A93D6C"/>
    <w:rsid w:val="00AD4C39"/>
    <w:rsid w:val="00AD5089"/>
    <w:rsid w:val="00B06C03"/>
    <w:rsid w:val="00B40887"/>
    <w:rsid w:val="00BA1D6A"/>
    <w:rsid w:val="00BA5F43"/>
    <w:rsid w:val="00BD3CB4"/>
    <w:rsid w:val="00C75DE2"/>
    <w:rsid w:val="00C91C83"/>
    <w:rsid w:val="00CB7289"/>
    <w:rsid w:val="00D00E73"/>
    <w:rsid w:val="00D25DC0"/>
    <w:rsid w:val="00DF7942"/>
    <w:rsid w:val="00DF7CA6"/>
    <w:rsid w:val="00E349DC"/>
    <w:rsid w:val="00E96D47"/>
    <w:rsid w:val="00F40940"/>
    <w:rsid w:val="00F442EF"/>
    <w:rsid w:val="00F86BF7"/>
    <w:rsid w:val="00F94BDF"/>
    <w:rsid w:val="00FA6D7E"/>
    <w:rsid w:val="00FD3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606893F9-2642-4D2E-93B4-AD56AB19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EBD"/>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78"/>
    <w:pPr>
      <w:tabs>
        <w:tab w:val="center" w:pos="4680"/>
        <w:tab w:val="right" w:pos="9360"/>
      </w:tabs>
    </w:pPr>
  </w:style>
  <w:style w:type="character" w:customStyle="1" w:styleId="HeaderChar">
    <w:name w:val="Header Char"/>
    <w:basedOn w:val="DefaultParagraphFont"/>
    <w:link w:val="Header"/>
    <w:uiPriority w:val="99"/>
    <w:rsid w:val="00536078"/>
  </w:style>
  <w:style w:type="paragraph" w:styleId="Footer">
    <w:name w:val="footer"/>
    <w:basedOn w:val="Normal"/>
    <w:link w:val="FooterChar"/>
    <w:uiPriority w:val="99"/>
    <w:unhideWhenUsed/>
    <w:rsid w:val="00536078"/>
    <w:pPr>
      <w:tabs>
        <w:tab w:val="center" w:pos="4680"/>
        <w:tab w:val="right" w:pos="9360"/>
      </w:tabs>
    </w:pPr>
  </w:style>
  <w:style w:type="character" w:customStyle="1" w:styleId="FooterChar">
    <w:name w:val="Footer Char"/>
    <w:basedOn w:val="DefaultParagraphFont"/>
    <w:link w:val="Footer"/>
    <w:uiPriority w:val="99"/>
    <w:rsid w:val="00536078"/>
  </w:style>
  <w:style w:type="paragraph" w:styleId="BalloonText">
    <w:name w:val="Balloon Text"/>
    <w:basedOn w:val="Normal"/>
    <w:link w:val="BalloonTextChar"/>
    <w:uiPriority w:val="99"/>
    <w:semiHidden/>
    <w:unhideWhenUsed/>
    <w:rsid w:val="004A3CB9"/>
    <w:rPr>
      <w:rFonts w:ascii="Segoe UI" w:hAnsi="Segoe UI" w:cs="Segoe UI"/>
      <w:sz w:val="18"/>
      <w:szCs w:val="18"/>
    </w:rPr>
  </w:style>
  <w:style w:type="character" w:customStyle="1" w:styleId="BalloonTextChar">
    <w:name w:val="Balloon Text Char"/>
    <w:link w:val="BalloonText"/>
    <w:uiPriority w:val="99"/>
    <w:semiHidden/>
    <w:rsid w:val="004A3CB9"/>
    <w:rPr>
      <w:rFonts w:ascii="Segoe UI" w:hAnsi="Segoe UI" w:cs="Segoe UI"/>
      <w:sz w:val="18"/>
      <w:szCs w:val="18"/>
    </w:rPr>
  </w:style>
  <w:style w:type="character" w:styleId="Hyperlink">
    <w:name w:val="Hyperlink"/>
    <w:uiPriority w:val="99"/>
    <w:unhideWhenUsed/>
    <w:rsid w:val="001036F2"/>
    <w:rPr>
      <w:color w:val="003D79"/>
      <w:u w:val="single"/>
    </w:rPr>
  </w:style>
  <w:style w:type="character" w:styleId="FollowedHyperlink">
    <w:name w:val="FollowedHyperlink"/>
    <w:basedOn w:val="DefaultParagraphFont"/>
    <w:uiPriority w:val="99"/>
    <w:semiHidden/>
    <w:unhideWhenUsed/>
    <w:rsid w:val="00355A59"/>
    <w:rPr>
      <w:color w:val="9DBB53" w:themeColor="followedHyperlink"/>
      <w:u w:val="single"/>
    </w:rPr>
  </w:style>
  <w:style w:type="character" w:styleId="Strong">
    <w:name w:val="Strong"/>
    <w:basedOn w:val="DefaultParagraphFont"/>
    <w:uiPriority w:val="22"/>
    <w:qFormat/>
    <w:rsid w:val="00AD5089"/>
    <w:rPr>
      <w:b/>
      <w:bCs/>
    </w:rPr>
  </w:style>
  <w:style w:type="paragraph" w:styleId="z-TopofForm">
    <w:name w:val="HTML Top of Form"/>
    <w:basedOn w:val="Normal"/>
    <w:next w:val="Normal"/>
    <w:link w:val="z-TopofFormChar"/>
    <w:hidden/>
    <w:uiPriority w:val="99"/>
    <w:semiHidden/>
    <w:unhideWhenUsed/>
    <w:rsid w:val="00AD508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D5089"/>
    <w:rPr>
      <w:rFonts w:ascii="Arial" w:eastAsia="Times New Roman" w:hAnsi="Arial" w:cs="Arial"/>
      <w:vanish/>
      <w:sz w:val="16"/>
      <w:szCs w:val="16"/>
    </w:rPr>
  </w:style>
  <w:style w:type="paragraph" w:styleId="ListParagraph">
    <w:name w:val="List Paragraph"/>
    <w:basedOn w:val="Normal"/>
    <w:uiPriority w:val="34"/>
    <w:qFormat/>
    <w:rsid w:val="007F6EBD"/>
    <w:pPr>
      <w:ind w:left="720"/>
      <w:contextualSpacing/>
    </w:pPr>
  </w:style>
  <w:style w:type="table" w:styleId="TableGrid">
    <w:name w:val="Table Grid"/>
    <w:basedOn w:val="TableNormal"/>
    <w:uiPriority w:val="39"/>
    <w:rsid w:val="001A1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080">
      <w:bodyDiv w:val="1"/>
      <w:marLeft w:val="0"/>
      <w:marRight w:val="0"/>
      <w:marTop w:val="0"/>
      <w:marBottom w:val="0"/>
      <w:divBdr>
        <w:top w:val="none" w:sz="0" w:space="0" w:color="auto"/>
        <w:left w:val="none" w:sz="0" w:space="0" w:color="auto"/>
        <w:bottom w:val="none" w:sz="0" w:space="0" w:color="auto"/>
        <w:right w:val="none" w:sz="0" w:space="0" w:color="auto"/>
      </w:divBdr>
      <w:divsChild>
        <w:div w:id="2022394056">
          <w:marLeft w:val="0"/>
          <w:marRight w:val="0"/>
          <w:marTop w:val="0"/>
          <w:marBottom w:val="0"/>
          <w:divBdr>
            <w:top w:val="none" w:sz="0" w:space="0" w:color="auto"/>
            <w:left w:val="none" w:sz="0" w:space="0" w:color="auto"/>
            <w:bottom w:val="none" w:sz="0" w:space="0" w:color="auto"/>
            <w:right w:val="none" w:sz="0" w:space="0" w:color="auto"/>
          </w:divBdr>
        </w:div>
      </w:divsChild>
    </w:div>
    <w:div w:id="765072903">
      <w:bodyDiv w:val="1"/>
      <w:marLeft w:val="0"/>
      <w:marRight w:val="0"/>
      <w:marTop w:val="0"/>
      <w:marBottom w:val="0"/>
      <w:divBdr>
        <w:top w:val="none" w:sz="0" w:space="0" w:color="auto"/>
        <w:left w:val="none" w:sz="0" w:space="0" w:color="auto"/>
        <w:bottom w:val="none" w:sz="0" w:space="0" w:color="auto"/>
        <w:right w:val="none" w:sz="0" w:space="0" w:color="auto"/>
      </w:divBdr>
      <w:divsChild>
        <w:div w:id="1413814036">
          <w:marLeft w:val="0"/>
          <w:marRight w:val="0"/>
          <w:marTop w:val="0"/>
          <w:marBottom w:val="0"/>
          <w:divBdr>
            <w:top w:val="none" w:sz="0" w:space="0" w:color="auto"/>
            <w:left w:val="none" w:sz="0" w:space="0" w:color="auto"/>
            <w:bottom w:val="none" w:sz="0" w:space="0" w:color="auto"/>
            <w:right w:val="none" w:sz="0" w:space="0" w:color="auto"/>
          </w:divBdr>
          <w:divsChild>
            <w:div w:id="2099980173">
              <w:marLeft w:val="0"/>
              <w:marRight w:val="0"/>
              <w:marTop w:val="0"/>
              <w:marBottom w:val="0"/>
              <w:divBdr>
                <w:top w:val="none" w:sz="0" w:space="0" w:color="auto"/>
                <w:left w:val="none" w:sz="0" w:space="0" w:color="auto"/>
                <w:bottom w:val="none" w:sz="0" w:space="0" w:color="auto"/>
                <w:right w:val="none" w:sz="0" w:space="0" w:color="auto"/>
              </w:divBdr>
            </w:div>
          </w:divsChild>
        </w:div>
        <w:div w:id="1708948717">
          <w:marLeft w:val="0"/>
          <w:marRight w:val="0"/>
          <w:marTop w:val="0"/>
          <w:marBottom w:val="0"/>
          <w:divBdr>
            <w:top w:val="none" w:sz="0" w:space="0" w:color="auto"/>
            <w:left w:val="none" w:sz="0" w:space="0" w:color="auto"/>
            <w:bottom w:val="none" w:sz="0" w:space="0" w:color="auto"/>
            <w:right w:val="none" w:sz="0" w:space="0" w:color="auto"/>
          </w:divBdr>
        </w:div>
      </w:divsChild>
    </w:div>
    <w:div w:id="985166307">
      <w:bodyDiv w:val="1"/>
      <w:marLeft w:val="0"/>
      <w:marRight w:val="0"/>
      <w:marTop w:val="0"/>
      <w:marBottom w:val="0"/>
      <w:divBdr>
        <w:top w:val="none" w:sz="0" w:space="0" w:color="auto"/>
        <w:left w:val="none" w:sz="0" w:space="0" w:color="auto"/>
        <w:bottom w:val="none" w:sz="0" w:space="0" w:color="auto"/>
        <w:right w:val="none" w:sz="0" w:space="0" w:color="auto"/>
      </w:divBdr>
      <w:divsChild>
        <w:div w:id="1001929539">
          <w:marLeft w:val="0"/>
          <w:marRight w:val="0"/>
          <w:marTop w:val="0"/>
          <w:marBottom w:val="0"/>
          <w:divBdr>
            <w:top w:val="none" w:sz="0" w:space="0" w:color="auto"/>
            <w:left w:val="none" w:sz="0" w:space="0" w:color="auto"/>
            <w:bottom w:val="none" w:sz="0" w:space="0" w:color="auto"/>
            <w:right w:val="none" w:sz="0" w:space="0" w:color="auto"/>
          </w:divBdr>
          <w:divsChild>
            <w:div w:id="1918443998">
              <w:marLeft w:val="0"/>
              <w:marRight w:val="0"/>
              <w:marTop w:val="0"/>
              <w:marBottom w:val="0"/>
              <w:divBdr>
                <w:top w:val="none" w:sz="0" w:space="0" w:color="auto"/>
                <w:left w:val="none" w:sz="0" w:space="0" w:color="auto"/>
                <w:bottom w:val="none" w:sz="0" w:space="0" w:color="auto"/>
                <w:right w:val="none" w:sz="0" w:space="0" w:color="auto"/>
              </w:divBdr>
              <w:divsChild>
                <w:div w:id="204218810">
                  <w:marLeft w:val="0"/>
                  <w:marRight w:val="0"/>
                  <w:marTop w:val="0"/>
                  <w:marBottom w:val="0"/>
                  <w:divBdr>
                    <w:top w:val="none" w:sz="0" w:space="0" w:color="auto"/>
                    <w:left w:val="none" w:sz="0" w:space="0" w:color="auto"/>
                    <w:bottom w:val="none" w:sz="0" w:space="0" w:color="auto"/>
                    <w:right w:val="none" w:sz="0" w:space="0" w:color="auto"/>
                  </w:divBdr>
                  <w:divsChild>
                    <w:div w:id="1269310459">
                      <w:marLeft w:val="0"/>
                      <w:marRight w:val="0"/>
                      <w:marTop w:val="0"/>
                      <w:marBottom w:val="0"/>
                      <w:divBdr>
                        <w:top w:val="none" w:sz="0" w:space="0" w:color="auto"/>
                        <w:left w:val="none" w:sz="0" w:space="0" w:color="auto"/>
                        <w:bottom w:val="none" w:sz="0" w:space="0" w:color="auto"/>
                        <w:right w:val="none" w:sz="0" w:space="0" w:color="auto"/>
                      </w:divBdr>
                    </w:div>
                    <w:div w:id="1751271345">
                      <w:marLeft w:val="0"/>
                      <w:marRight w:val="0"/>
                      <w:marTop w:val="0"/>
                      <w:marBottom w:val="0"/>
                      <w:divBdr>
                        <w:top w:val="none" w:sz="0" w:space="0" w:color="auto"/>
                        <w:left w:val="none" w:sz="0" w:space="0" w:color="auto"/>
                        <w:bottom w:val="none" w:sz="0" w:space="0" w:color="auto"/>
                        <w:right w:val="none" w:sz="0" w:space="0" w:color="auto"/>
                      </w:divBdr>
                    </w:div>
                    <w:div w:id="1896575734">
                      <w:marLeft w:val="0"/>
                      <w:marRight w:val="0"/>
                      <w:marTop w:val="0"/>
                      <w:marBottom w:val="0"/>
                      <w:divBdr>
                        <w:top w:val="none" w:sz="0" w:space="0" w:color="auto"/>
                        <w:left w:val="none" w:sz="0" w:space="0" w:color="auto"/>
                        <w:bottom w:val="none" w:sz="0" w:space="0" w:color="auto"/>
                        <w:right w:val="none" w:sz="0" w:space="0" w:color="auto"/>
                      </w:divBdr>
                    </w:div>
                    <w:div w:id="1832406024">
                      <w:marLeft w:val="0"/>
                      <w:marRight w:val="0"/>
                      <w:marTop w:val="0"/>
                      <w:marBottom w:val="0"/>
                      <w:divBdr>
                        <w:top w:val="none" w:sz="0" w:space="0" w:color="auto"/>
                        <w:left w:val="none" w:sz="0" w:space="0" w:color="auto"/>
                        <w:bottom w:val="none" w:sz="0" w:space="0" w:color="auto"/>
                        <w:right w:val="none" w:sz="0" w:space="0" w:color="auto"/>
                      </w:divBdr>
                    </w:div>
                    <w:div w:id="1721590568">
                      <w:marLeft w:val="0"/>
                      <w:marRight w:val="0"/>
                      <w:marTop w:val="0"/>
                      <w:marBottom w:val="0"/>
                      <w:divBdr>
                        <w:top w:val="none" w:sz="0" w:space="0" w:color="auto"/>
                        <w:left w:val="none" w:sz="0" w:space="0" w:color="auto"/>
                        <w:bottom w:val="none" w:sz="0" w:space="0" w:color="auto"/>
                        <w:right w:val="none" w:sz="0" w:space="0" w:color="auto"/>
                      </w:divBdr>
                    </w:div>
                    <w:div w:id="771827562">
                      <w:marLeft w:val="0"/>
                      <w:marRight w:val="0"/>
                      <w:marTop w:val="0"/>
                      <w:marBottom w:val="0"/>
                      <w:divBdr>
                        <w:top w:val="none" w:sz="0" w:space="0" w:color="auto"/>
                        <w:left w:val="none" w:sz="0" w:space="0" w:color="auto"/>
                        <w:bottom w:val="none" w:sz="0" w:space="0" w:color="auto"/>
                        <w:right w:val="none" w:sz="0" w:space="0" w:color="auto"/>
                      </w:divBdr>
                    </w:div>
                    <w:div w:id="6846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34281">
          <w:marLeft w:val="0"/>
          <w:marRight w:val="0"/>
          <w:marTop w:val="0"/>
          <w:marBottom w:val="0"/>
          <w:divBdr>
            <w:top w:val="none" w:sz="0" w:space="0" w:color="auto"/>
            <w:left w:val="none" w:sz="0" w:space="0" w:color="auto"/>
            <w:bottom w:val="none" w:sz="0" w:space="0" w:color="auto"/>
            <w:right w:val="none" w:sz="0" w:space="0" w:color="auto"/>
          </w:divBdr>
          <w:divsChild>
            <w:div w:id="1258558803">
              <w:marLeft w:val="0"/>
              <w:marRight w:val="0"/>
              <w:marTop w:val="0"/>
              <w:marBottom w:val="0"/>
              <w:divBdr>
                <w:top w:val="none" w:sz="0" w:space="0" w:color="auto"/>
                <w:left w:val="none" w:sz="0" w:space="0" w:color="auto"/>
                <w:bottom w:val="none" w:sz="0" w:space="0" w:color="auto"/>
                <w:right w:val="none" w:sz="0" w:space="0" w:color="auto"/>
              </w:divBdr>
            </w:div>
          </w:divsChild>
        </w:div>
        <w:div w:id="990451515">
          <w:marLeft w:val="0"/>
          <w:marRight w:val="0"/>
          <w:marTop w:val="0"/>
          <w:marBottom w:val="0"/>
          <w:divBdr>
            <w:top w:val="none" w:sz="0" w:space="0" w:color="auto"/>
            <w:left w:val="none" w:sz="0" w:space="0" w:color="auto"/>
            <w:bottom w:val="none" w:sz="0" w:space="0" w:color="auto"/>
            <w:right w:val="none" w:sz="0" w:space="0" w:color="auto"/>
          </w:divBdr>
          <w:divsChild>
            <w:div w:id="648480696">
              <w:marLeft w:val="0"/>
              <w:marRight w:val="0"/>
              <w:marTop w:val="0"/>
              <w:marBottom w:val="0"/>
              <w:divBdr>
                <w:top w:val="none" w:sz="0" w:space="0" w:color="auto"/>
                <w:left w:val="none" w:sz="0" w:space="0" w:color="auto"/>
                <w:bottom w:val="none" w:sz="0" w:space="0" w:color="auto"/>
                <w:right w:val="none" w:sz="0" w:space="0" w:color="auto"/>
              </w:divBdr>
              <w:divsChild>
                <w:div w:id="634406331">
                  <w:marLeft w:val="0"/>
                  <w:marRight w:val="0"/>
                  <w:marTop w:val="0"/>
                  <w:marBottom w:val="0"/>
                  <w:divBdr>
                    <w:top w:val="none" w:sz="0" w:space="0" w:color="auto"/>
                    <w:left w:val="none" w:sz="0" w:space="0" w:color="auto"/>
                    <w:bottom w:val="none" w:sz="0" w:space="0" w:color="auto"/>
                    <w:right w:val="none" w:sz="0" w:space="0" w:color="auto"/>
                  </w:divBdr>
                  <w:divsChild>
                    <w:div w:id="116416135">
                      <w:marLeft w:val="0"/>
                      <w:marRight w:val="0"/>
                      <w:marTop w:val="0"/>
                      <w:marBottom w:val="0"/>
                      <w:divBdr>
                        <w:top w:val="none" w:sz="0" w:space="0" w:color="auto"/>
                        <w:left w:val="none" w:sz="0" w:space="0" w:color="auto"/>
                        <w:bottom w:val="none" w:sz="0" w:space="0" w:color="auto"/>
                        <w:right w:val="none" w:sz="0" w:space="0" w:color="auto"/>
                      </w:divBdr>
                    </w:div>
                    <w:div w:id="383483742">
                      <w:marLeft w:val="0"/>
                      <w:marRight w:val="0"/>
                      <w:marTop w:val="0"/>
                      <w:marBottom w:val="0"/>
                      <w:divBdr>
                        <w:top w:val="none" w:sz="0" w:space="0" w:color="auto"/>
                        <w:left w:val="none" w:sz="0" w:space="0" w:color="auto"/>
                        <w:bottom w:val="none" w:sz="0" w:space="0" w:color="auto"/>
                        <w:right w:val="none" w:sz="0" w:space="0" w:color="auto"/>
                      </w:divBdr>
                    </w:div>
                    <w:div w:id="1419056628">
                      <w:marLeft w:val="0"/>
                      <w:marRight w:val="0"/>
                      <w:marTop w:val="0"/>
                      <w:marBottom w:val="0"/>
                      <w:divBdr>
                        <w:top w:val="none" w:sz="0" w:space="0" w:color="auto"/>
                        <w:left w:val="none" w:sz="0" w:space="0" w:color="auto"/>
                        <w:bottom w:val="none" w:sz="0" w:space="0" w:color="auto"/>
                        <w:right w:val="none" w:sz="0" w:space="0" w:color="auto"/>
                      </w:divBdr>
                    </w:div>
                    <w:div w:id="1142386440">
                      <w:marLeft w:val="0"/>
                      <w:marRight w:val="0"/>
                      <w:marTop w:val="0"/>
                      <w:marBottom w:val="0"/>
                      <w:divBdr>
                        <w:top w:val="none" w:sz="0" w:space="0" w:color="auto"/>
                        <w:left w:val="none" w:sz="0" w:space="0" w:color="auto"/>
                        <w:bottom w:val="none" w:sz="0" w:space="0" w:color="auto"/>
                        <w:right w:val="none" w:sz="0" w:space="0" w:color="auto"/>
                      </w:divBdr>
                    </w:div>
                    <w:div w:id="1637829264">
                      <w:marLeft w:val="0"/>
                      <w:marRight w:val="0"/>
                      <w:marTop w:val="0"/>
                      <w:marBottom w:val="0"/>
                      <w:divBdr>
                        <w:top w:val="none" w:sz="0" w:space="0" w:color="auto"/>
                        <w:left w:val="none" w:sz="0" w:space="0" w:color="auto"/>
                        <w:bottom w:val="none" w:sz="0" w:space="0" w:color="auto"/>
                        <w:right w:val="none" w:sz="0" w:space="0" w:color="auto"/>
                      </w:divBdr>
                    </w:div>
                    <w:div w:id="63140394">
                      <w:marLeft w:val="0"/>
                      <w:marRight w:val="0"/>
                      <w:marTop w:val="0"/>
                      <w:marBottom w:val="0"/>
                      <w:divBdr>
                        <w:top w:val="none" w:sz="0" w:space="0" w:color="auto"/>
                        <w:left w:val="none" w:sz="0" w:space="0" w:color="auto"/>
                        <w:bottom w:val="none" w:sz="0" w:space="0" w:color="auto"/>
                        <w:right w:val="none" w:sz="0" w:space="0" w:color="auto"/>
                      </w:divBdr>
                    </w:div>
                    <w:div w:id="1879078538">
                      <w:marLeft w:val="0"/>
                      <w:marRight w:val="0"/>
                      <w:marTop w:val="0"/>
                      <w:marBottom w:val="0"/>
                      <w:divBdr>
                        <w:top w:val="none" w:sz="0" w:space="0" w:color="auto"/>
                        <w:left w:val="none" w:sz="0" w:space="0" w:color="auto"/>
                        <w:bottom w:val="none" w:sz="0" w:space="0" w:color="auto"/>
                        <w:right w:val="none" w:sz="0" w:space="0" w:color="auto"/>
                      </w:divBdr>
                    </w:div>
                    <w:div w:id="677537760">
                      <w:marLeft w:val="0"/>
                      <w:marRight w:val="0"/>
                      <w:marTop w:val="0"/>
                      <w:marBottom w:val="0"/>
                      <w:divBdr>
                        <w:top w:val="none" w:sz="0" w:space="0" w:color="auto"/>
                        <w:left w:val="none" w:sz="0" w:space="0" w:color="auto"/>
                        <w:bottom w:val="none" w:sz="0" w:space="0" w:color="auto"/>
                        <w:right w:val="none" w:sz="0" w:space="0" w:color="auto"/>
                      </w:divBdr>
                    </w:div>
                    <w:div w:id="893538517">
                      <w:marLeft w:val="0"/>
                      <w:marRight w:val="0"/>
                      <w:marTop w:val="0"/>
                      <w:marBottom w:val="0"/>
                      <w:divBdr>
                        <w:top w:val="none" w:sz="0" w:space="0" w:color="auto"/>
                        <w:left w:val="none" w:sz="0" w:space="0" w:color="auto"/>
                        <w:bottom w:val="none" w:sz="0" w:space="0" w:color="auto"/>
                        <w:right w:val="none" w:sz="0" w:space="0" w:color="auto"/>
                      </w:divBdr>
                    </w:div>
                    <w:div w:id="733816448">
                      <w:marLeft w:val="0"/>
                      <w:marRight w:val="0"/>
                      <w:marTop w:val="0"/>
                      <w:marBottom w:val="0"/>
                      <w:divBdr>
                        <w:top w:val="none" w:sz="0" w:space="0" w:color="auto"/>
                        <w:left w:val="none" w:sz="0" w:space="0" w:color="auto"/>
                        <w:bottom w:val="none" w:sz="0" w:space="0" w:color="auto"/>
                        <w:right w:val="none" w:sz="0" w:space="0" w:color="auto"/>
                      </w:divBdr>
                    </w:div>
                    <w:div w:id="410005737">
                      <w:marLeft w:val="0"/>
                      <w:marRight w:val="0"/>
                      <w:marTop w:val="0"/>
                      <w:marBottom w:val="0"/>
                      <w:divBdr>
                        <w:top w:val="none" w:sz="0" w:space="0" w:color="auto"/>
                        <w:left w:val="none" w:sz="0" w:space="0" w:color="auto"/>
                        <w:bottom w:val="none" w:sz="0" w:space="0" w:color="auto"/>
                        <w:right w:val="none" w:sz="0" w:space="0" w:color="auto"/>
                      </w:divBdr>
                    </w:div>
                    <w:div w:id="16427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505">
          <w:marLeft w:val="0"/>
          <w:marRight w:val="0"/>
          <w:marTop w:val="0"/>
          <w:marBottom w:val="0"/>
          <w:divBdr>
            <w:top w:val="none" w:sz="0" w:space="0" w:color="auto"/>
            <w:left w:val="none" w:sz="0" w:space="0" w:color="auto"/>
            <w:bottom w:val="none" w:sz="0" w:space="0" w:color="auto"/>
            <w:right w:val="none" w:sz="0" w:space="0" w:color="auto"/>
          </w:divBdr>
          <w:divsChild>
            <w:div w:id="655501170">
              <w:marLeft w:val="0"/>
              <w:marRight w:val="0"/>
              <w:marTop w:val="0"/>
              <w:marBottom w:val="0"/>
              <w:divBdr>
                <w:top w:val="none" w:sz="0" w:space="0" w:color="auto"/>
                <w:left w:val="none" w:sz="0" w:space="0" w:color="auto"/>
                <w:bottom w:val="none" w:sz="0" w:space="0" w:color="auto"/>
                <w:right w:val="none" w:sz="0" w:space="0" w:color="auto"/>
              </w:divBdr>
            </w:div>
          </w:divsChild>
        </w:div>
        <w:div w:id="315259692">
          <w:marLeft w:val="0"/>
          <w:marRight w:val="0"/>
          <w:marTop w:val="0"/>
          <w:marBottom w:val="0"/>
          <w:divBdr>
            <w:top w:val="none" w:sz="0" w:space="0" w:color="auto"/>
            <w:left w:val="none" w:sz="0" w:space="0" w:color="auto"/>
            <w:bottom w:val="none" w:sz="0" w:space="0" w:color="auto"/>
            <w:right w:val="none" w:sz="0" w:space="0" w:color="auto"/>
          </w:divBdr>
          <w:divsChild>
            <w:div w:id="1403680119">
              <w:marLeft w:val="0"/>
              <w:marRight w:val="0"/>
              <w:marTop w:val="0"/>
              <w:marBottom w:val="0"/>
              <w:divBdr>
                <w:top w:val="none" w:sz="0" w:space="0" w:color="auto"/>
                <w:left w:val="none" w:sz="0" w:space="0" w:color="auto"/>
                <w:bottom w:val="none" w:sz="0" w:space="0" w:color="auto"/>
                <w:right w:val="none" w:sz="0" w:space="0" w:color="auto"/>
              </w:divBdr>
              <w:divsChild>
                <w:div w:id="872887008">
                  <w:marLeft w:val="0"/>
                  <w:marRight w:val="0"/>
                  <w:marTop w:val="0"/>
                  <w:marBottom w:val="0"/>
                  <w:divBdr>
                    <w:top w:val="none" w:sz="0" w:space="0" w:color="auto"/>
                    <w:left w:val="none" w:sz="0" w:space="0" w:color="auto"/>
                    <w:bottom w:val="none" w:sz="0" w:space="0" w:color="auto"/>
                    <w:right w:val="none" w:sz="0" w:space="0" w:color="auto"/>
                  </w:divBdr>
                  <w:divsChild>
                    <w:div w:id="1746799827">
                      <w:marLeft w:val="0"/>
                      <w:marRight w:val="0"/>
                      <w:marTop w:val="0"/>
                      <w:marBottom w:val="0"/>
                      <w:divBdr>
                        <w:top w:val="none" w:sz="0" w:space="0" w:color="auto"/>
                        <w:left w:val="none" w:sz="0" w:space="0" w:color="auto"/>
                        <w:bottom w:val="none" w:sz="0" w:space="0" w:color="auto"/>
                        <w:right w:val="none" w:sz="0" w:space="0" w:color="auto"/>
                      </w:divBdr>
                    </w:div>
                    <w:div w:id="83233971">
                      <w:marLeft w:val="0"/>
                      <w:marRight w:val="0"/>
                      <w:marTop w:val="0"/>
                      <w:marBottom w:val="0"/>
                      <w:divBdr>
                        <w:top w:val="none" w:sz="0" w:space="0" w:color="auto"/>
                        <w:left w:val="none" w:sz="0" w:space="0" w:color="auto"/>
                        <w:bottom w:val="none" w:sz="0" w:space="0" w:color="auto"/>
                        <w:right w:val="none" w:sz="0" w:space="0" w:color="auto"/>
                      </w:divBdr>
                    </w:div>
                    <w:div w:id="857620098">
                      <w:marLeft w:val="0"/>
                      <w:marRight w:val="0"/>
                      <w:marTop w:val="0"/>
                      <w:marBottom w:val="0"/>
                      <w:divBdr>
                        <w:top w:val="none" w:sz="0" w:space="0" w:color="auto"/>
                        <w:left w:val="none" w:sz="0" w:space="0" w:color="auto"/>
                        <w:bottom w:val="none" w:sz="0" w:space="0" w:color="auto"/>
                        <w:right w:val="none" w:sz="0" w:space="0" w:color="auto"/>
                      </w:divBdr>
                    </w:div>
                    <w:div w:id="512065259">
                      <w:marLeft w:val="0"/>
                      <w:marRight w:val="0"/>
                      <w:marTop w:val="0"/>
                      <w:marBottom w:val="0"/>
                      <w:divBdr>
                        <w:top w:val="none" w:sz="0" w:space="0" w:color="auto"/>
                        <w:left w:val="none" w:sz="0" w:space="0" w:color="auto"/>
                        <w:bottom w:val="none" w:sz="0" w:space="0" w:color="auto"/>
                        <w:right w:val="none" w:sz="0" w:space="0" w:color="auto"/>
                      </w:divBdr>
                    </w:div>
                    <w:div w:id="613638592">
                      <w:marLeft w:val="0"/>
                      <w:marRight w:val="0"/>
                      <w:marTop w:val="0"/>
                      <w:marBottom w:val="0"/>
                      <w:divBdr>
                        <w:top w:val="none" w:sz="0" w:space="0" w:color="auto"/>
                        <w:left w:val="none" w:sz="0" w:space="0" w:color="auto"/>
                        <w:bottom w:val="none" w:sz="0" w:space="0" w:color="auto"/>
                        <w:right w:val="none" w:sz="0" w:space="0" w:color="auto"/>
                      </w:divBdr>
                    </w:div>
                    <w:div w:id="479659036">
                      <w:marLeft w:val="0"/>
                      <w:marRight w:val="0"/>
                      <w:marTop w:val="0"/>
                      <w:marBottom w:val="0"/>
                      <w:divBdr>
                        <w:top w:val="none" w:sz="0" w:space="0" w:color="auto"/>
                        <w:left w:val="none" w:sz="0" w:space="0" w:color="auto"/>
                        <w:bottom w:val="none" w:sz="0" w:space="0" w:color="auto"/>
                        <w:right w:val="none" w:sz="0" w:space="0" w:color="auto"/>
                      </w:divBdr>
                    </w:div>
                    <w:div w:id="1111970043">
                      <w:marLeft w:val="0"/>
                      <w:marRight w:val="0"/>
                      <w:marTop w:val="0"/>
                      <w:marBottom w:val="0"/>
                      <w:divBdr>
                        <w:top w:val="none" w:sz="0" w:space="0" w:color="auto"/>
                        <w:left w:val="none" w:sz="0" w:space="0" w:color="auto"/>
                        <w:bottom w:val="none" w:sz="0" w:space="0" w:color="auto"/>
                        <w:right w:val="none" w:sz="0" w:space="0" w:color="auto"/>
                      </w:divBdr>
                    </w:div>
                    <w:div w:id="1136684313">
                      <w:marLeft w:val="0"/>
                      <w:marRight w:val="0"/>
                      <w:marTop w:val="0"/>
                      <w:marBottom w:val="0"/>
                      <w:divBdr>
                        <w:top w:val="none" w:sz="0" w:space="0" w:color="auto"/>
                        <w:left w:val="none" w:sz="0" w:space="0" w:color="auto"/>
                        <w:bottom w:val="none" w:sz="0" w:space="0" w:color="auto"/>
                        <w:right w:val="none" w:sz="0" w:space="0" w:color="auto"/>
                      </w:divBdr>
                    </w:div>
                    <w:div w:id="287711604">
                      <w:marLeft w:val="0"/>
                      <w:marRight w:val="0"/>
                      <w:marTop w:val="0"/>
                      <w:marBottom w:val="0"/>
                      <w:divBdr>
                        <w:top w:val="none" w:sz="0" w:space="0" w:color="auto"/>
                        <w:left w:val="none" w:sz="0" w:space="0" w:color="auto"/>
                        <w:bottom w:val="none" w:sz="0" w:space="0" w:color="auto"/>
                        <w:right w:val="none" w:sz="0" w:space="0" w:color="auto"/>
                      </w:divBdr>
                    </w:div>
                    <w:div w:id="4409569">
                      <w:marLeft w:val="0"/>
                      <w:marRight w:val="0"/>
                      <w:marTop w:val="0"/>
                      <w:marBottom w:val="0"/>
                      <w:divBdr>
                        <w:top w:val="none" w:sz="0" w:space="0" w:color="auto"/>
                        <w:left w:val="none" w:sz="0" w:space="0" w:color="auto"/>
                        <w:bottom w:val="none" w:sz="0" w:space="0" w:color="auto"/>
                        <w:right w:val="none" w:sz="0" w:space="0" w:color="auto"/>
                      </w:divBdr>
                    </w:div>
                    <w:div w:id="198594408">
                      <w:marLeft w:val="0"/>
                      <w:marRight w:val="0"/>
                      <w:marTop w:val="0"/>
                      <w:marBottom w:val="0"/>
                      <w:divBdr>
                        <w:top w:val="none" w:sz="0" w:space="0" w:color="auto"/>
                        <w:left w:val="none" w:sz="0" w:space="0" w:color="auto"/>
                        <w:bottom w:val="none" w:sz="0" w:space="0" w:color="auto"/>
                        <w:right w:val="none" w:sz="0" w:space="0" w:color="auto"/>
                      </w:divBdr>
                    </w:div>
                    <w:div w:id="18024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7938">
      <w:bodyDiv w:val="1"/>
      <w:marLeft w:val="0"/>
      <w:marRight w:val="0"/>
      <w:marTop w:val="0"/>
      <w:marBottom w:val="0"/>
      <w:divBdr>
        <w:top w:val="none" w:sz="0" w:space="0" w:color="auto"/>
        <w:left w:val="none" w:sz="0" w:space="0" w:color="auto"/>
        <w:bottom w:val="none" w:sz="0" w:space="0" w:color="auto"/>
        <w:right w:val="none" w:sz="0" w:space="0" w:color="auto"/>
      </w:divBdr>
      <w:divsChild>
        <w:div w:id="431322236">
          <w:marLeft w:val="0"/>
          <w:marRight w:val="0"/>
          <w:marTop w:val="0"/>
          <w:marBottom w:val="0"/>
          <w:divBdr>
            <w:top w:val="none" w:sz="0" w:space="0" w:color="auto"/>
            <w:left w:val="none" w:sz="0" w:space="0" w:color="auto"/>
            <w:bottom w:val="none" w:sz="0" w:space="0" w:color="auto"/>
            <w:right w:val="none" w:sz="0" w:space="0" w:color="auto"/>
          </w:divBdr>
        </w:div>
        <w:div w:id="1863208021">
          <w:marLeft w:val="0"/>
          <w:marRight w:val="0"/>
          <w:marTop w:val="0"/>
          <w:marBottom w:val="0"/>
          <w:divBdr>
            <w:top w:val="none" w:sz="0" w:space="0" w:color="auto"/>
            <w:left w:val="none" w:sz="0" w:space="0" w:color="auto"/>
            <w:bottom w:val="none" w:sz="0" w:space="0" w:color="auto"/>
            <w:right w:val="none" w:sz="0" w:space="0" w:color="auto"/>
          </w:divBdr>
        </w:div>
        <w:div w:id="139615423">
          <w:marLeft w:val="0"/>
          <w:marRight w:val="0"/>
          <w:marTop w:val="0"/>
          <w:marBottom w:val="0"/>
          <w:divBdr>
            <w:top w:val="none" w:sz="0" w:space="0" w:color="auto"/>
            <w:left w:val="none" w:sz="0" w:space="0" w:color="auto"/>
            <w:bottom w:val="none" w:sz="0" w:space="0" w:color="auto"/>
            <w:right w:val="none" w:sz="0" w:space="0" w:color="auto"/>
          </w:divBdr>
        </w:div>
      </w:divsChild>
    </w:div>
    <w:div w:id="1569413453">
      <w:bodyDiv w:val="1"/>
      <w:marLeft w:val="0"/>
      <w:marRight w:val="0"/>
      <w:marTop w:val="0"/>
      <w:marBottom w:val="0"/>
      <w:divBdr>
        <w:top w:val="none" w:sz="0" w:space="0" w:color="auto"/>
        <w:left w:val="none" w:sz="0" w:space="0" w:color="auto"/>
        <w:bottom w:val="none" w:sz="0" w:space="0" w:color="auto"/>
        <w:right w:val="none" w:sz="0" w:space="0" w:color="auto"/>
      </w:divBdr>
    </w:div>
    <w:div w:id="1637904966">
      <w:bodyDiv w:val="1"/>
      <w:marLeft w:val="0"/>
      <w:marRight w:val="0"/>
      <w:marTop w:val="0"/>
      <w:marBottom w:val="0"/>
      <w:divBdr>
        <w:top w:val="none" w:sz="0" w:space="0" w:color="auto"/>
        <w:left w:val="none" w:sz="0" w:space="0" w:color="auto"/>
        <w:bottom w:val="none" w:sz="0" w:space="0" w:color="auto"/>
        <w:right w:val="none" w:sz="0" w:space="0" w:color="auto"/>
      </w:divBdr>
      <w:divsChild>
        <w:div w:id="314913449">
          <w:marLeft w:val="0"/>
          <w:marRight w:val="0"/>
          <w:marTop w:val="0"/>
          <w:marBottom w:val="0"/>
          <w:divBdr>
            <w:top w:val="none" w:sz="0" w:space="0" w:color="auto"/>
            <w:left w:val="none" w:sz="0" w:space="0" w:color="auto"/>
            <w:bottom w:val="none" w:sz="0" w:space="0" w:color="auto"/>
            <w:right w:val="none" w:sz="0" w:space="0" w:color="auto"/>
          </w:divBdr>
          <w:divsChild>
            <w:div w:id="1064450411">
              <w:marLeft w:val="0"/>
              <w:marRight w:val="0"/>
              <w:marTop w:val="0"/>
              <w:marBottom w:val="0"/>
              <w:divBdr>
                <w:top w:val="none" w:sz="0" w:space="0" w:color="auto"/>
                <w:left w:val="none" w:sz="0" w:space="0" w:color="auto"/>
                <w:bottom w:val="none" w:sz="0" w:space="0" w:color="auto"/>
                <w:right w:val="none" w:sz="0" w:space="0" w:color="auto"/>
              </w:divBdr>
              <w:divsChild>
                <w:div w:id="1191989926">
                  <w:marLeft w:val="0"/>
                  <w:marRight w:val="0"/>
                  <w:marTop w:val="0"/>
                  <w:marBottom w:val="0"/>
                  <w:divBdr>
                    <w:top w:val="none" w:sz="0" w:space="0" w:color="auto"/>
                    <w:left w:val="none" w:sz="0" w:space="0" w:color="auto"/>
                    <w:bottom w:val="none" w:sz="0" w:space="0" w:color="auto"/>
                    <w:right w:val="none" w:sz="0" w:space="0" w:color="auto"/>
                  </w:divBdr>
                  <w:divsChild>
                    <w:div w:id="567619314">
                      <w:marLeft w:val="0"/>
                      <w:marRight w:val="0"/>
                      <w:marTop w:val="0"/>
                      <w:marBottom w:val="0"/>
                      <w:divBdr>
                        <w:top w:val="none" w:sz="0" w:space="0" w:color="auto"/>
                        <w:left w:val="none" w:sz="0" w:space="0" w:color="auto"/>
                        <w:bottom w:val="none" w:sz="0" w:space="0" w:color="auto"/>
                        <w:right w:val="none" w:sz="0" w:space="0" w:color="auto"/>
                      </w:divBdr>
                    </w:div>
                    <w:div w:id="339622443">
                      <w:marLeft w:val="0"/>
                      <w:marRight w:val="0"/>
                      <w:marTop w:val="0"/>
                      <w:marBottom w:val="0"/>
                      <w:divBdr>
                        <w:top w:val="none" w:sz="0" w:space="0" w:color="auto"/>
                        <w:left w:val="none" w:sz="0" w:space="0" w:color="auto"/>
                        <w:bottom w:val="none" w:sz="0" w:space="0" w:color="auto"/>
                        <w:right w:val="none" w:sz="0" w:space="0" w:color="auto"/>
                      </w:divBdr>
                    </w:div>
                    <w:div w:id="305740316">
                      <w:marLeft w:val="0"/>
                      <w:marRight w:val="0"/>
                      <w:marTop w:val="0"/>
                      <w:marBottom w:val="0"/>
                      <w:divBdr>
                        <w:top w:val="none" w:sz="0" w:space="0" w:color="auto"/>
                        <w:left w:val="none" w:sz="0" w:space="0" w:color="auto"/>
                        <w:bottom w:val="none" w:sz="0" w:space="0" w:color="auto"/>
                        <w:right w:val="none" w:sz="0" w:space="0" w:color="auto"/>
                      </w:divBdr>
                    </w:div>
                    <w:div w:id="1690331301">
                      <w:marLeft w:val="0"/>
                      <w:marRight w:val="0"/>
                      <w:marTop w:val="0"/>
                      <w:marBottom w:val="0"/>
                      <w:divBdr>
                        <w:top w:val="none" w:sz="0" w:space="0" w:color="auto"/>
                        <w:left w:val="none" w:sz="0" w:space="0" w:color="auto"/>
                        <w:bottom w:val="none" w:sz="0" w:space="0" w:color="auto"/>
                        <w:right w:val="none" w:sz="0" w:space="0" w:color="auto"/>
                      </w:divBdr>
                    </w:div>
                    <w:div w:id="484472931">
                      <w:marLeft w:val="0"/>
                      <w:marRight w:val="0"/>
                      <w:marTop w:val="0"/>
                      <w:marBottom w:val="0"/>
                      <w:divBdr>
                        <w:top w:val="none" w:sz="0" w:space="0" w:color="auto"/>
                        <w:left w:val="none" w:sz="0" w:space="0" w:color="auto"/>
                        <w:bottom w:val="none" w:sz="0" w:space="0" w:color="auto"/>
                        <w:right w:val="none" w:sz="0" w:space="0" w:color="auto"/>
                      </w:divBdr>
                    </w:div>
                    <w:div w:id="6047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8620">
          <w:marLeft w:val="0"/>
          <w:marRight w:val="0"/>
          <w:marTop w:val="0"/>
          <w:marBottom w:val="0"/>
          <w:divBdr>
            <w:top w:val="none" w:sz="0" w:space="0" w:color="auto"/>
            <w:left w:val="none" w:sz="0" w:space="0" w:color="auto"/>
            <w:bottom w:val="none" w:sz="0" w:space="0" w:color="auto"/>
            <w:right w:val="none" w:sz="0" w:space="0" w:color="auto"/>
          </w:divBdr>
          <w:divsChild>
            <w:div w:id="2082748901">
              <w:marLeft w:val="0"/>
              <w:marRight w:val="0"/>
              <w:marTop w:val="0"/>
              <w:marBottom w:val="0"/>
              <w:divBdr>
                <w:top w:val="none" w:sz="0" w:space="0" w:color="auto"/>
                <w:left w:val="none" w:sz="0" w:space="0" w:color="auto"/>
                <w:bottom w:val="none" w:sz="0" w:space="0" w:color="auto"/>
                <w:right w:val="none" w:sz="0" w:space="0" w:color="auto"/>
              </w:divBdr>
            </w:div>
          </w:divsChild>
        </w:div>
        <w:div w:id="760296992">
          <w:marLeft w:val="0"/>
          <w:marRight w:val="0"/>
          <w:marTop w:val="0"/>
          <w:marBottom w:val="0"/>
          <w:divBdr>
            <w:top w:val="none" w:sz="0" w:space="0" w:color="auto"/>
            <w:left w:val="none" w:sz="0" w:space="0" w:color="auto"/>
            <w:bottom w:val="none" w:sz="0" w:space="0" w:color="auto"/>
            <w:right w:val="none" w:sz="0" w:space="0" w:color="auto"/>
          </w:divBdr>
          <w:divsChild>
            <w:div w:id="880940658">
              <w:marLeft w:val="0"/>
              <w:marRight w:val="0"/>
              <w:marTop w:val="0"/>
              <w:marBottom w:val="0"/>
              <w:divBdr>
                <w:top w:val="none" w:sz="0" w:space="0" w:color="auto"/>
                <w:left w:val="none" w:sz="0" w:space="0" w:color="auto"/>
                <w:bottom w:val="none" w:sz="0" w:space="0" w:color="auto"/>
                <w:right w:val="none" w:sz="0" w:space="0" w:color="auto"/>
              </w:divBdr>
              <w:divsChild>
                <w:div w:id="1947149389">
                  <w:marLeft w:val="0"/>
                  <w:marRight w:val="0"/>
                  <w:marTop w:val="0"/>
                  <w:marBottom w:val="0"/>
                  <w:divBdr>
                    <w:top w:val="none" w:sz="0" w:space="0" w:color="auto"/>
                    <w:left w:val="none" w:sz="0" w:space="0" w:color="auto"/>
                    <w:bottom w:val="none" w:sz="0" w:space="0" w:color="auto"/>
                    <w:right w:val="none" w:sz="0" w:space="0" w:color="auto"/>
                  </w:divBdr>
                  <w:divsChild>
                    <w:div w:id="1267690637">
                      <w:marLeft w:val="0"/>
                      <w:marRight w:val="0"/>
                      <w:marTop w:val="0"/>
                      <w:marBottom w:val="0"/>
                      <w:divBdr>
                        <w:top w:val="none" w:sz="0" w:space="0" w:color="auto"/>
                        <w:left w:val="none" w:sz="0" w:space="0" w:color="auto"/>
                        <w:bottom w:val="none" w:sz="0" w:space="0" w:color="auto"/>
                        <w:right w:val="none" w:sz="0" w:space="0" w:color="auto"/>
                      </w:divBdr>
                    </w:div>
                    <w:div w:id="2114278479">
                      <w:marLeft w:val="0"/>
                      <w:marRight w:val="0"/>
                      <w:marTop w:val="0"/>
                      <w:marBottom w:val="0"/>
                      <w:divBdr>
                        <w:top w:val="none" w:sz="0" w:space="0" w:color="auto"/>
                        <w:left w:val="none" w:sz="0" w:space="0" w:color="auto"/>
                        <w:bottom w:val="none" w:sz="0" w:space="0" w:color="auto"/>
                        <w:right w:val="none" w:sz="0" w:space="0" w:color="auto"/>
                      </w:divBdr>
                    </w:div>
                    <w:div w:id="220333681">
                      <w:marLeft w:val="0"/>
                      <w:marRight w:val="0"/>
                      <w:marTop w:val="0"/>
                      <w:marBottom w:val="0"/>
                      <w:divBdr>
                        <w:top w:val="none" w:sz="0" w:space="0" w:color="auto"/>
                        <w:left w:val="none" w:sz="0" w:space="0" w:color="auto"/>
                        <w:bottom w:val="none" w:sz="0" w:space="0" w:color="auto"/>
                        <w:right w:val="none" w:sz="0" w:space="0" w:color="auto"/>
                      </w:divBdr>
                    </w:div>
                    <w:div w:id="8661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70430">
      <w:bodyDiv w:val="1"/>
      <w:marLeft w:val="0"/>
      <w:marRight w:val="0"/>
      <w:marTop w:val="0"/>
      <w:marBottom w:val="0"/>
      <w:divBdr>
        <w:top w:val="none" w:sz="0" w:space="0" w:color="auto"/>
        <w:left w:val="none" w:sz="0" w:space="0" w:color="auto"/>
        <w:bottom w:val="none" w:sz="0" w:space="0" w:color="auto"/>
        <w:right w:val="none" w:sz="0" w:space="0" w:color="auto"/>
      </w:divBdr>
      <w:divsChild>
        <w:div w:id="1795320293">
          <w:marLeft w:val="0"/>
          <w:marRight w:val="0"/>
          <w:marTop w:val="0"/>
          <w:marBottom w:val="0"/>
          <w:divBdr>
            <w:top w:val="none" w:sz="0" w:space="0" w:color="auto"/>
            <w:left w:val="none" w:sz="0" w:space="0" w:color="auto"/>
            <w:bottom w:val="none" w:sz="0" w:space="0" w:color="auto"/>
            <w:right w:val="none" w:sz="0" w:space="0" w:color="auto"/>
          </w:divBdr>
          <w:divsChild>
            <w:div w:id="1927226083">
              <w:marLeft w:val="0"/>
              <w:marRight w:val="0"/>
              <w:marTop w:val="0"/>
              <w:marBottom w:val="0"/>
              <w:divBdr>
                <w:top w:val="none" w:sz="0" w:space="0" w:color="auto"/>
                <w:left w:val="none" w:sz="0" w:space="0" w:color="auto"/>
                <w:bottom w:val="none" w:sz="0" w:space="0" w:color="auto"/>
                <w:right w:val="none" w:sz="0" w:space="0" w:color="auto"/>
              </w:divBdr>
              <w:divsChild>
                <w:div w:id="1756396772">
                  <w:marLeft w:val="0"/>
                  <w:marRight w:val="0"/>
                  <w:marTop w:val="0"/>
                  <w:marBottom w:val="0"/>
                  <w:divBdr>
                    <w:top w:val="none" w:sz="0" w:space="0" w:color="auto"/>
                    <w:left w:val="none" w:sz="0" w:space="0" w:color="auto"/>
                    <w:bottom w:val="none" w:sz="0" w:space="0" w:color="auto"/>
                    <w:right w:val="none" w:sz="0" w:space="0" w:color="auto"/>
                  </w:divBdr>
                  <w:divsChild>
                    <w:div w:id="1372462294">
                      <w:marLeft w:val="0"/>
                      <w:marRight w:val="0"/>
                      <w:marTop w:val="0"/>
                      <w:marBottom w:val="0"/>
                      <w:divBdr>
                        <w:top w:val="none" w:sz="0" w:space="0" w:color="auto"/>
                        <w:left w:val="none" w:sz="0" w:space="0" w:color="auto"/>
                        <w:bottom w:val="none" w:sz="0" w:space="0" w:color="auto"/>
                        <w:right w:val="none" w:sz="0" w:space="0" w:color="auto"/>
                      </w:divBdr>
                    </w:div>
                    <w:div w:id="1565026872">
                      <w:marLeft w:val="0"/>
                      <w:marRight w:val="0"/>
                      <w:marTop w:val="0"/>
                      <w:marBottom w:val="0"/>
                      <w:divBdr>
                        <w:top w:val="none" w:sz="0" w:space="0" w:color="auto"/>
                        <w:left w:val="none" w:sz="0" w:space="0" w:color="auto"/>
                        <w:bottom w:val="none" w:sz="0" w:space="0" w:color="auto"/>
                        <w:right w:val="none" w:sz="0" w:space="0" w:color="auto"/>
                      </w:divBdr>
                    </w:div>
                    <w:div w:id="502355021">
                      <w:marLeft w:val="0"/>
                      <w:marRight w:val="0"/>
                      <w:marTop w:val="0"/>
                      <w:marBottom w:val="0"/>
                      <w:divBdr>
                        <w:top w:val="none" w:sz="0" w:space="0" w:color="auto"/>
                        <w:left w:val="none" w:sz="0" w:space="0" w:color="auto"/>
                        <w:bottom w:val="none" w:sz="0" w:space="0" w:color="auto"/>
                        <w:right w:val="none" w:sz="0" w:space="0" w:color="auto"/>
                      </w:divBdr>
                    </w:div>
                    <w:div w:id="654647858">
                      <w:marLeft w:val="0"/>
                      <w:marRight w:val="0"/>
                      <w:marTop w:val="0"/>
                      <w:marBottom w:val="0"/>
                      <w:divBdr>
                        <w:top w:val="none" w:sz="0" w:space="0" w:color="auto"/>
                        <w:left w:val="none" w:sz="0" w:space="0" w:color="auto"/>
                        <w:bottom w:val="none" w:sz="0" w:space="0" w:color="auto"/>
                        <w:right w:val="none" w:sz="0" w:space="0" w:color="auto"/>
                      </w:divBdr>
                    </w:div>
                    <w:div w:id="14657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19158">
          <w:marLeft w:val="0"/>
          <w:marRight w:val="0"/>
          <w:marTop w:val="0"/>
          <w:marBottom w:val="0"/>
          <w:divBdr>
            <w:top w:val="none" w:sz="0" w:space="0" w:color="auto"/>
            <w:left w:val="none" w:sz="0" w:space="0" w:color="auto"/>
            <w:bottom w:val="none" w:sz="0" w:space="0" w:color="auto"/>
            <w:right w:val="none" w:sz="0" w:space="0" w:color="auto"/>
          </w:divBdr>
          <w:divsChild>
            <w:div w:id="686297330">
              <w:marLeft w:val="0"/>
              <w:marRight w:val="0"/>
              <w:marTop w:val="0"/>
              <w:marBottom w:val="0"/>
              <w:divBdr>
                <w:top w:val="none" w:sz="0" w:space="0" w:color="auto"/>
                <w:left w:val="none" w:sz="0" w:space="0" w:color="auto"/>
                <w:bottom w:val="none" w:sz="0" w:space="0" w:color="auto"/>
                <w:right w:val="none" w:sz="0" w:space="0" w:color="auto"/>
              </w:divBdr>
            </w:div>
          </w:divsChild>
        </w:div>
        <w:div w:id="235016717">
          <w:marLeft w:val="0"/>
          <w:marRight w:val="0"/>
          <w:marTop w:val="0"/>
          <w:marBottom w:val="0"/>
          <w:divBdr>
            <w:top w:val="none" w:sz="0" w:space="0" w:color="auto"/>
            <w:left w:val="none" w:sz="0" w:space="0" w:color="auto"/>
            <w:bottom w:val="none" w:sz="0" w:space="0" w:color="auto"/>
            <w:right w:val="none" w:sz="0" w:space="0" w:color="auto"/>
          </w:divBdr>
          <w:divsChild>
            <w:div w:id="1226455570">
              <w:marLeft w:val="0"/>
              <w:marRight w:val="0"/>
              <w:marTop w:val="0"/>
              <w:marBottom w:val="0"/>
              <w:divBdr>
                <w:top w:val="none" w:sz="0" w:space="0" w:color="auto"/>
                <w:left w:val="none" w:sz="0" w:space="0" w:color="auto"/>
                <w:bottom w:val="none" w:sz="0" w:space="0" w:color="auto"/>
                <w:right w:val="none" w:sz="0" w:space="0" w:color="auto"/>
              </w:divBdr>
              <w:divsChild>
                <w:div w:id="1927959503">
                  <w:marLeft w:val="0"/>
                  <w:marRight w:val="0"/>
                  <w:marTop w:val="0"/>
                  <w:marBottom w:val="0"/>
                  <w:divBdr>
                    <w:top w:val="none" w:sz="0" w:space="0" w:color="auto"/>
                    <w:left w:val="none" w:sz="0" w:space="0" w:color="auto"/>
                    <w:bottom w:val="none" w:sz="0" w:space="0" w:color="auto"/>
                    <w:right w:val="none" w:sz="0" w:space="0" w:color="auto"/>
                  </w:divBdr>
                  <w:divsChild>
                    <w:div w:id="1376658754">
                      <w:marLeft w:val="0"/>
                      <w:marRight w:val="0"/>
                      <w:marTop w:val="0"/>
                      <w:marBottom w:val="0"/>
                      <w:divBdr>
                        <w:top w:val="none" w:sz="0" w:space="0" w:color="auto"/>
                        <w:left w:val="none" w:sz="0" w:space="0" w:color="auto"/>
                        <w:bottom w:val="none" w:sz="0" w:space="0" w:color="auto"/>
                        <w:right w:val="none" w:sz="0" w:space="0" w:color="auto"/>
                      </w:divBdr>
                    </w:div>
                    <w:div w:id="1493645369">
                      <w:marLeft w:val="0"/>
                      <w:marRight w:val="0"/>
                      <w:marTop w:val="0"/>
                      <w:marBottom w:val="0"/>
                      <w:divBdr>
                        <w:top w:val="none" w:sz="0" w:space="0" w:color="auto"/>
                        <w:left w:val="none" w:sz="0" w:space="0" w:color="auto"/>
                        <w:bottom w:val="none" w:sz="0" w:space="0" w:color="auto"/>
                        <w:right w:val="none" w:sz="0" w:space="0" w:color="auto"/>
                      </w:divBdr>
                    </w:div>
                    <w:div w:id="2087610913">
                      <w:marLeft w:val="0"/>
                      <w:marRight w:val="0"/>
                      <w:marTop w:val="0"/>
                      <w:marBottom w:val="0"/>
                      <w:divBdr>
                        <w:top w:val="none" w:sz="0" w:space="0" w:color="auto"/>
                        <w:left w:val="none" w:sz="0" w:space="0" w:color="auto"/>
                        <w:bottom w:val="none" w:sz="0" w:space="0" w:color="auto"/>
                        <w:right w:val="none" w:sz="0" w:space="0" w:color="auto"/>
                      </w:divBdr>
                    </w:div>
                    <w:div w:id="494687636">
                      <w:marLeft w:val="0"/>
                      <w:marRight w:val="0"/>
                      <w:marTop w:val="0"/>
                      <w:marBottom w:val="0"/>
                      <w:divBdr>
                        <w:top w:val="none" w:sz="0" w:space="0" w:color="auto"/>
                        <w:left w:val="none" w:sz="0" w:space="0" w:color="auto"/>
                        <w:bottom w:val="none" w:sz="0" w:space="0" w:color="auto"/>
                        <w:right w:val="none" w:sz="0" w:space="0" w:color="auto"/>
                      </w:divBdr>
                    </w:div>
                    <w:div w:id="927275330">
                      <w:marLeft w:val="0"/>
                      <w:marRight w:val="0"/>
                      <w:marTop w:val="0"/>
                      <w:marBottom w:val="0"/>
                      <w:divBdr>
                        <w:top w:val="none" w:sz="0" w:space="0" w:color="auto"/>
                        <w:left w:val="none" w:sz="0" w:space="0" w:color="auto"/>
                        <w:bottom w:val="none" w:sz="0" w:space="0" w:color="auto"/>
                        <w:right w:val="none" w:sz="0" w:space="0" w:color="auto"/>
                      </w:divBdr>
                    </w:div>
                    <w:div w:id="206720458">
                      <w:marLeft w:val="0"/>
                      <w:marRight w:val="0"/>
                      <w:marTop w:val="0"/>
                      <w:marBottom w:val="0"/>
                      <w:divBdr>
                        <w:top w:val="none" w:sz="0" w:space="0" w:color="auto"/>
                        <w:left w:val="none" w:sz="0" w:space="0" w:color="auto"/>
                        <w:bottom w:val="none" w:sz="0" w:space="0" w:color="auto"/>
                        <w:right w:val="none" w:sz="0" w:space="0" w:color="auto"/>
                      </w:divBdr>
                    </w:div>
                    <w:div w:id="1287395447">
                      <w:marLeft w:val="0"/>
                      <w:marRight w:val="0"/>
                      <w:marTop w:val="0"/>
                      <w:marBottom w:val="0"/>
                      <w:divBdr>
                        <w:top w:val="none" w:sz="0" w:space="0" w:color="auto"/>
                        <w:left w:val="none" w:sz="0" w:space="0" w:color="auto"/>
                        <w:bottom w:val="none" w:sz="0" w:space="0" w:color="auto"/>
                        <w:right w:val="none" w:sz="0" w:space="0" w:color="auto"/>
                      </w:divBdr>
                    </w:div>
                    <w:div w:id="311452860">
                      <w:marLeft w:val="0"/>
                      <w:marRight w:val="0"/>
                      <w:marTop w:val="0"/>
                      <w:marBottom w:val="0"/>
                      <w:divBdr>
                        <w:top w:val="none" w:sz="0" w:space="0" w:color="auto"/>
                        <w:left w:val="none" w:sz="0" w:space="0" w:color="auto"/>
                        <w:bottom w:val="none" w:sz="0" w:space="0" w:color="auto"/>
                        <w:right w:val="none" w:sz="0" w:space="0" w:color="auto"/>
                      </w:divBdr>
                    </w:div>
                    <w:div w:id="423764398">
                      <w:marLeft w:val="0"/>
                      <w:marRight w:val="0"/>
                      <w:marTop w:val="0"/>
                      <w:marBottom w:val="0"/>
                      <w:divBdr>
                        <w:top w:val="none" w:sz="0" w:space="0" w:color="auto"/>
                        <w:left w:val="none" w:sz="0" w:space="0" w:color="auto"/>
                        <w:bottom w:val="none" w:sz="0" w:space="0" w:color="auto"/>
                        <w:right w:val="none" w:sz="0" w:space="0" w:color="auto"/>
                      </w:divBdr>
                    </w:div>
                    <w:div w:id="665398886">
                      <w:marLeft w:val="0"/>
                      <w:marRight w:val="0"/>
                      <w:marTop w:val="0"/>
                      <w:marBottom w:val="0"/>
                      <w:divBdr>
                        <w:top w:val="none" w:sz="0" w:space="0" w:color="auto"/>
                        <w:left w:val="none" w:sz="0" w:space="0" w:color="auto"/>
                        <w:bottom w:val="none" w:sz="0" w:space="0" w:color="auto"/>
                        <w:right w:val="none" w:sz="0" w:space="0" w:color="auto"/>
                      </w:divBdr>
                    </w:div>
                    <w:div w:id="623195226">
                      <w:marLeft w:val="0"/>
                      <w:marRight w:val="0"/>
                      <w:marTop w:val="0"/>
                      <w:marBottom w:val="0"/>
                      <w:divBdr>
                        <w:top w:val="none" w:sz="0" w:space="0" w:color="auto"/>
                        <w:left w:val="none" w:sz="0" w:space="0" w:color="auto"/>
                        <w:bottom w:val="none" w:sz="0" w:space="0" w:color="auto"/>
                        <w:right w:val="none" w:sz="0" w:space="0" w:color="auto"/>
                      </w:divBdr>
                    </w:div>
                    <w:div w:id="1851944482">
                      <w:marLeft w:val="0"/>
                      <w:marRight w:val="0"/>
                      <w:marTop w:val="0"/>
                      <w:marBottom w:val="0"/>
                      <w:divBdr>
                        <w:top w:val="none" w:sz="0" w:space="0" w:color="auto"/>
                        <w:left w:val="none" w:sz="0" w:space="0" w:color="auto"/>
                        <w:bottom w:val="none" w:sz="0" w:space="0" w:color="auto"/>
                        <w:right w:val="none" w:sz="0" w:space="0" w:color="auto"/>
                      </w:divBdr>
                    </w:div>
                    <w:div w:id="660305216">
                      <w:marLeft w:val="0"/>
                      <w:marRight w:val="0"/>
                      <w:marTop w:val="0"/>
                      <w:marBottom w:val="0"/>
                      <w:divBdr>
                        <w:top w:val="none" w:sz="0" w:space="0" w:color="auto"/>
                        <w:left w:val="none" w:sz="0" w:space="0" w:color="auto"/>
                        <w:bottom w:val="none" w:sz="0" w:space="0" w:color="auto"/>
                        <w:right w:val="none" w:sz="0" w:space="0" w:color="auto"/>
                      </w:divBdr>
                    </w:div>
                    <w:div w:id="853231143">
                      <w:marLeft w:val="0"/>
                      <w:marRight w:val="0"/>
                      <w:marTop w:val="0"/>
                      <w:marBottom w:val="0"/>
                      <w:divBdr>
                        <w:top w:val="none" w:sz="0" w:space="0" w:color="auto"/>
                        <w:left w:val="none" w:sz="0" w:space="0" w:color="auto"/>
                        <w:bottom w:val="none" w:sz="0" w:space="0" w:color="auto"/>
                        <w:right w:val="none" w:sz="0" w:space="0" w:color="auto"/>
                      </w:divBdr>
                    </w:div>
                    <w:div w:id="1542787433">
                      <w:marLeft w:val="0"/>
                      <w:marRight w:val="0"/>
                      <w:marTop w:val="0"/>
                      <w:marBottom w:val="0"/>
                      <w:divBdr>
                        <w:top w:val="none" w:sz="0" w:space="0" w:color="auto"/>
                        <w:left w:val="none" w:sz="0" w:space="0" w:color="auto"/>
                        <w:bottom w:val="none" w:sz="0" w:space="0" w:color="auto"/>
                        <w:right w:val="none" w:sz="0" w:space="0" w:color="auto"/>
                      </w:divBdr>
                    </w:div>
                    <w:div w:id="1881898149">
                      <w:marLeft w:val="0"/>
                      <w:marRight w:val="0"/>
                      <w:marTop w:val="0"/>
                      <w:marBottom w:val="0"/>
                      <w:divBdr>
                        <w:top w:val="none" w:sz="0" w:space="0" w:color="auto"/>
                        <w:left w:val="none" w:sz="0" w:space="0" w:color="auto"/>
                        <w:bottom w:val="none" w:sz="0" w:space="0" w:color="auto"/>
                        <w:right w:val="none" w:sz="0" w:space="0" w:color="auto"/>
                      </w:divBdr>
                    </w:div>
                    <w:div w:id="2134057230">
                      <w:marLeft w:val="0"/>
                      <w:marRight w:val="0"/>
                      <w:marTop w:val="0"/>
                      <w:marBottom w:val="0"/>
                      <w:divBdr>
                        <w:top w:val="none" w:sz="0" w:space="0" w:color="auto"/>
                        <w:left w:val="none" w:sz="0" w:space="0" w:color="auto"/>
                        <w:bottom w:val="none" w:sz="0" w:space="0" w:color="auto"/>
                        <w:right w:val="none" w:sz="0" w:space="0" w:color="auto"/>
                      </w:divBdr>
                    </w:div>
                    <w:div w:id="940527258">
                      <w:marLeft w:val="0"/>
                      <w:marRight w:val="0"/>
                      <w:marTop w:val="0"/>
                      <w:marBottom w:val="0"/>
                      <w:divBdr>
                        <w:top w:val="none" w:sz="0" w:space="0" w:color="auto"/>
                        <w:left w:val="none" w:sz="0" w:space="0" w:color="auto"/>
                        <w:bottom w:val="none" w:sz="0" w:space="0" w:color="auto"/>
                        <w:right w:val="none" w:sz="0" w:space="0" w:color="auto"/>
                      </w:divBdr>
                    </w:div>
                    <w:div w:id="331488930">
                      <w:marLeft w:val="0"/>
                      <w:marRight w:val="0"/>
                      <w:marTop w:val="0"/>
                      <w:marBottom w:val="0"/>
                      <w:divBdr>
                        <w:top w:val="none" w:sz="0" w:space="0" w:color="auto"/>
                        <w:left w:val="none" w:sz="0" w:space="0" w:color="auto"/>
                        <w:bottom w:val="none" w:sz="0" w:space="0" w:color="auto"/>
                        <w:right w:val="none" w:sz="0" w:space="0" w:color="auto"/>
                      </w:divBdr>
                    </w:div>
                    <w:div w:id="112388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2274">
          <w:marLeft w:val="0"/>
          <w:marRight w:val="0"/>
          <w:marTop w:val="0"/>
          <w:marBottom w:val="0"/>
          <w:divBdr>
            <w:top w:val="none" w:sz="0" w:space="0" w:color="auto"/>
            <w:left w:val="none" w:sz="0" w:space="0" w:color="auto"/>
            <w:bottom w:val="none" w:sz="0" w:space="0" w:color="auto"/>
            <w:right w:val="none" w:sz="0" w:space="0" w:color="auto"/>
          </w:divBdr>
          <w:divsChild>
            <w:div w:id="1222866597">
              <w:marLeft w:val="0"/>
              <w:marRight w:val="0"/>
              <w:marTop w:val="0"/>
              <w:marBottom w:val="0"/>
              <w:divBdr>
                <w:top w:val="none" w:sz="0" w:space="0" w:color="auto"/>
                <w:left w:val="none" w:sz="0" w:space="0" w:color="auto"/>
                <w:bottom w:val="none" w:sz="0" w:space="0" w:color="auto"/>
                <w:right w:val="none" w:sz="0" w:space="0" w:color="auto"/>
              </w:divBdr>
            </w:div>
          </w:divsChild>
        </w:div>
        <w:div w:id="1153445948">
          <w:marLeft w:val="0"/>
          <w:marRight w:val="0"/>
          <w:marTop w:val="0"/>
          <w:marBottom w:val="0"/>
          <w:divBdr>
            <w:top w:val="none" w:sz="0" w:space="0" w:color="auto"/>
            <w:left w:val="none" w:sz="0" w:space="0" w:color="auto"/>
            <w:bottom w:val="none" w:sz="0" w:space="0" w:color="auto"/>
            <w:right w:val="none" w:sz="0" w:space="0" w:color="auto"/>
          </w:divBdr>
          <w:divsChild>
            <w:div w:id="1972053983">
              <w:marLeft w:val="0"/>
              <w:marRight w:val="0"/>
              <w:marTop w:val="0"/>
              <w:marBottom w:val="0"/>
              <w:divBdr>
                <w:top w:val="none" w:sz="0" w:space="0" w:color="auto"/>
                <w:left w:val="none" w:sz="0" w:space="0" w:color="auto"/>
                <w:bottom w:val="none" w:sz="0" w:space="0" w:color="auto"/>
                <w:right w:val="none" w:sz="0" w:space="0" w:color="auto"/>
              </w:divBdr>
              <w:divsChild>
                <w:div w:id="1152604106">
                  <w:marLeft w:val="0"/>
                  <w:marRight w:val="0"/>
                  <w:marTop w:val="0"/>
                  <w:marBottom w:val="0"/>
                  <w:divBdr>
                    <w:top w:val="none" w:sz="0" w:space="0" w:color="auto"/>
                    <w:left w:val="none" w:sz="0" w:space="0" w:color="auto"/>
                    <w:bottom w:val="none" w:sz="0" w:space="0" w:color="auto"/>
                    <w:right w:val="none" w:sz="0" w:space="0" w:color="auto"/>
                  </w:divBdr>
                  <w:divsChild>
                    <w:div w:id="1650817714">
                      <w:marLeft w:val="0"/>
                      <w:marRight w:val="0"/>
                      <w:marTop w:val="0"/>
                      <w:marBottom w:val="0"/>
                      <w:divBdr>
                        <w:top w:val="none" w:sz="0" w:space="0" w:color="auto"/>
                        <w:left w:val="none" w:sz="0" w:space="0" w:color="auto"/>
                        <w:bottom w:val="none" w:sz="0" w:space="0" w:color="auto"/>
                        <w:right w:val="none" w:sz="0" w:space="0" w:color="auto"/>
                      </w:divBdr>
                    </w:div>
                    <w:div w:id="903638154">
                      <w:marLeft w:val="0"/>
                      <w:marRight w:val="0"/>
                      <w:marTop w:val="0"/>
                      <w:marBottom w:val="0"/>
                      <w:divBdr>
                        <w:top w:val="none" w:sz="0" w:space="0" w:color="auto"/>
                        <w:left w:val="none" w:sz="0" w:space="0" w:color="auto"/>
                        <w:bottom w:val="none" w:sz="0" w:space="0" w:color="auto"/>
                        <w:right w:val="none" w:sz="0" w:space="0" w:color="auto"/>
                      </w:divBdr>
                    </w:div>
                    <w:div w:id="625544014">
                      <w:marLeft w:val="0"/>
                      <w:marRight w:val="0"/>
                      <w:marTop w:val="0"/>
                      <w:marBottom w:val="0"/>
                      <w:divBdr>
                        <w:top w:val="none" w:sz="0" w:space="0" w:color="auto"/>
                        <w:left w:val="none" w:sz="0" w:space="0" w:color="auto"/>
                        <w:bottom w:val="none" w:sz="0" w:space="0" w:color="auto"/>
                        <w:right w:val="none" w:sz="0" w:space="0" w:color="auto"/>
                      </w:divBdr>
                    </w:div>
                    <w:div w:id="8271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3804">
          <w:marLeft w:val="0"/>
          <w:marRight w:val="0"/>
          <w:marTop w:val="0"/>
          <w:marBottom w:val="0"/>
          <w:divBdr>
            <w:top w:val="none" w:sz="0" w:space="0" w:color="auto"/>
            <w:left w:val="none" w:sz="0" w:space="0" w:color="auto"/>
            <w:bottom w:val="none" w:sz="0" w:space="0" w:color="auto"/>
            <w:right w:val="none" w:sz="0" w:space="0" w:color="auto"/>
          </w:divBdr>
          <w:divsChild>
            <w:div w:id="315692210">
              <w:marLeft w:val="0"/>
              <w:marRight w:val="0"/>
              <w:marTop w:val="0"/>
              <w:marBottom w:val="0"/>
              <w:divBdr>
                <w:top w:val="none" w:sz="0" w:space="0" w:color="auto"/>
                <w:left w:val="none" w:sz="0" w:space="0" w:color="auto"/>
                <w:bottom w:val="none" w:sz="0" w:space="0" w:color="auto"/>
                <w:right w:val="none" w:sz="0" w:space="0" w:color="auto"/>
              </w:divBdr>
            </w:div>
          </w:divsChild>
        </w:div>
        <w:div w:id="1498303278">
          <w:marLeft w:val="0"/>
          <w:marRight w:val="0"/>
          <w:marTop w:val="0"/>
          <w:marBottom w:val="0"/>
          <w:divBdr>
            <w:top w:val="none" w:sz="0" w:space="0" w:color="auto"/>
            <w:left w:val="none" w:sz="0" w:space="0" w:color="auto"/>
            <w:bottom w:val="none" w:sz="0" w:space="0" w:color="auto"/>
            <w:right w:val="none" w:sz="0" w:space="0" w:color="auto"/>
          </w:divBdr>
          <w:divsChild>
            <w:div w:id="50422836">
              <w:marLeft w:val="0"/>
              <w:marRight w:val="0"/>
              <w:marTop w:val="0"/>
              <w:marBottom w:val="0"/>
              <w:divBdr>
                <w:top w:val="none" w:sz="0" w:space="0" w:color="auto"/>
                <w:left w:val="none" w:sz="0" w:space="0" w:color="auto"/>
                <w:bottom w:val="none" w:sz="0" w:space="0" w:color="auto"/>
                <w:right w:val="none" w:sz="0" w:space="0" w:color="auto"/>
              </w:divBdr>
              <w:divsChild>
                <w:div w:id="2112429442">
                  <w:marLeft w:val="0"/>
                  <w:marRight w:val="0"/>
                  <w:marTop w:val="0"/>
                  <w:marBottom w:val="0"/>
                  <w:divBdr>
                    <w:top w:val="none" w:sz="0" w:space="0" w:color="auto"/>
                    <w:left w:val="none" w:sz="0" w:space="0" w:color="auto"/>
                    <w:bottom w:val="none" w:sz="0" w:space="0" w:color="auto"/>
                    <w:right w:val="none" w:sz="0" w:space="0" w:color="auto"/>
                  </w:divBdr>
                  <w:divsChild>
                    <w:div w:id="2628678">
                      <w:marLeft w:val="0"/>
                      <w:marRight w:val="0"/>
                      <w:marTop w:val="0"/>
                      <w:marBottom w:val="0"/>
                      <w:divBdr>
                        <w:top w:val="none" w:sz="0" w:space="0" w:color="auto"/>
                        <w:left w:val="none" w:sz="0" w:space="0" w:color="auto"/>
                        <w:bottom w:val="none" w:sz="0" w:space="0" w:color="auto"/>
                        <w:right w:val="none" w:sz="0" w:space="0" w:color="auto"/>
                      </w:divBdr>
                    </w:div>
                    <w:div w:id="996618376">
                      <w:marLeft w:val="0"/>
                      <w:marRight w:val="0"/>
                      <w:marTop w:val="0"/>
                      <w:marBottom w:val="0"/>
                      <w:divBdr>
                        <w:top w:val="none" w:sz="0" w:space="0" w:color="auto"/>
                        <w:left w:val="none" w:sz="0" w:space="0" w:color="auto"/>
                        <w:bottom w:val="none" w:sz="0" w:space="0" w:color="auto"/>
                        <w:right w:val="none" w:sz="0" w:space="0" w:color="auto"/>
                      </w:divBdr>
                    </w:div>
                    <w:div w:id="1919242645">
                      <w:marLeft w:val="0"/>
                      <w:marRight w:val="0"/>
                      <w:marTop w:val="0"/>
                      <w:marBottom w:val="0"/>
                      <w:divBdr>
                        <w:top w:val="none" w:sz="0" w:space="0" w:color="auto"/>
                        <w:left w:val="none" w:sz="0" w:space="0" w:color="auto"/>
                        <w:bottom w:val="none" w:sz="0" w:space="0" w:color="auto"/>
                        <w:right w:val="none" w:sz="0" w:space="0" w:color="auto"/>
                      </w:divBdr>
                    </w:div>
                    <w:div w:id="1364746709">
                      <w:marLeft w:val="0"/>
                      <w:marRight w:val="0"/>
                      <w:marTop w:val="0"/>
                      <w:marBottom w:val="0"/>
                      <w:divBdr>
                        <w:top w:val="none" w:sz="0" w:space="0" w:color="auto"/>
                        <w:left w:val="none" w:sz="0" w:space="0" w:color="auto"/>
                        <w:bottom w:val="none" w:sz="0" w:space="0" w:color="auto"/>
                        <w:right w:val="none" w:sz="0" w:space="0" w:color="auto"/>
                      </w:divBdr>
                    </w:div>
                    <w:div w:id="1544826766">
                      <w:marLeft w:val="0"/>
                      <w:marRight w:val="0"/>
                      <w:marTop w:val="0"/>
                      <w:marBottom w:val="0"/>
                      <w:divBdr>
                        <w:top w:val="none" w:sz="0" w:space="0" w:color="auto"/>
                        <w:left w:val="none" w:sz="0" w:space="0" w:color="auto"/>
                        <w:bottom w:val="none" w:sz="0" w:space="0" w:color="auto"/>
                        <w:right w:val="none" w:sz="0" w:space="0" w:color="auto"/>
                      </w:divBdr>
                    </w:div>
                    <w:div w:id="1637030710">
                      <w:marLeft w:val="0"/>
                      <w:marRight w:val="0"/>
                      <w:marTop w:val="0"/>
                      <w:marBottom w:val="0"/>
                      <w:divBdr>
                        <w:top w:val="none" w:sz="0" w:space="0" w:color="auto"/>
                        <w:left w:val="none" w:sz="0" w:space="0" w:color="auto"/>
                        <w:bottom w:val="none" w:sz="0" w:space="0" w:color="auto"/>
                        <w:right w:val="none" w:sz="0" w:space="0" w:color="auto"/>
                      </w:divBdr>
                    </w:div>
                    <w:div w:id="229728446">
                      <w:marLeft w:val="0"/>
                      <w:marRight w:val="0"/>
                      <w:marTop w:val="0"/>
                      <w:marBottom w:val="0"/>
                      <w:divBdr>
                        <w:top w:val="none" w:sz="0" w:space="0" w:color="auto"/>
                        <w:left w:val="none" w:sz="0" w:space="0" w:color="auto"/>
                        <w:bottom w:val="none" w:sz="0" w:space="0" w:color="auto"/>
                        <w:right w:val="none" w:sz="0" w:space="0" w:color="auto"/>
                      </w:divBdr>
                    </w:div>
                    <w:div w:id="1859077647">
                      <w:marLeft w:val="0"/>
                      <w:marRight w:val="0"/>
                      <w:marTop w:val="0"/>
                      <w:marBottom w:val="0"/>
                      <w:divBdr>
                        <w:top w:val="none" w:sz="0" w:space="0" w:color="auto"/>
                        <w:left w:val="none" w:sz="0" w:space="0" w:color="auto"/>
                        <w:bottom w:val="none" w:sz="0" w:space="0" w:color="auto"/>
                        <w:right w:val="none" w:sz="0" w:space="0" w:color="auto"/>
                      </w:divBdr>
                    </w:div>
                    <w:div w:id="1443843843">
                      <w:marLeft w:val="0"/>
                      <w:marRight w:val="0"/>
                      <w:marTop w:val="0"/>
                      <w:marBottom w:val="0"/>
                      <w:divBdr>
                        <w:top w:val="none" w:sz="0" w:space="0" w:color="auto"/>
                        <w:left w:val="none" w:sz="0" w:space="0" w:color="auto"/>
                        <w:bottom w:val="none" w:sz="0" w:space="0" w:color="auto"/>
                        <w:right w:val="none" w:sz="0" w:space="0" w:color="auto"/>
                      </w:divBdr>
                    </w:div>
                    <w:div w:id="1241217450">
                      <w:marLeft w:val="0"/>
                      <w:marRight w:val="0"/>
                      <w:marTop w:val="0"/>
                      <w:marBottom w:val="0"/>
                      <w:divBdr>
                        <w:top w:val="none" w:sz="0" w:space="0" w:color="auto"/>
                        <w:left w:val="none" w:sz="0" w:space="0" w:color="auto"/>
                        <w:bottom w:val="none" w:sz="0" w:space="0" w:color="auto"/>
                        <w:right w:val="none" w:sz="0" w:space="0" w:color="auto"/>
                      </w:divBdr>
                    </w:div>
                    <w:div w:id="6257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1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gov/sites/dfiles/PIH/documents/PIH-2019-20.pdf" TargetMode="External"/><Relationship Id="rId13" Type="http://schemas.openxmlformats.org/officeDocument/2006/relationships/hyperlink" Target="https://webcontact.ncjrs.gov/ncjchat/chat.jsp" TargetMode="External"/><Relationship Id="rId18" Type="http://schemas.openxmlformats.org/officeDocument/2006/relationships/hyperlink" Target="https://www.hud.gov/program_offices/spm/gmomgmt/grantsinfo/fundingopps/fy2019_section811_capadvanc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tdhca.state.tx.us/nofa.htm" TargetMode="External"/><Relationship Id="rId12" Type="http://schemas.openxmlformats.org/officeDocument/2006/relationships/hyperlink" Target="https://www.grants.gov/web/grants/view-opportunity.html?oppId=322837" TargetMode="External"/><Relationship Id="rId17" Type="http://schemas.openxmlformats.org/officeDocument/2006/relationships/hyperlink" Target="https://www.va.gov/HOMELESS/docs/GPD/NOFA_FY2020_GPD_PDO.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a.gov/homeless/gpd.asp?utm_source=HUD+Exchange+Mailing+List&amp;utm_campaign=5be0eb5a9d-1-8-20-GPD-Published-NOFA-for-PDO-Grants&amp;utm_medium=email&amp;utm_term=0_f32b935a5f-5be0eb5a9d-19495633" TargetMode="External"/><Relationship Id="rId20" Type="http://schemas.openxmlformats.org/officeDocument/2006/relationships/hyperlink" Target="https://www.tdhca.state.tx.us/ocidocs/20-21-BootstrapNOF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ud.gov/program_offices/public_indian_housing/programs/hcv/fyi_tp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hud.gov/program_offices/spm/gmomgmt/grantsinfo/fundingopps/fy19_shsvictims" TargetMode="External"/><Relationship Id="rId23" Type="http://schemas.openxmlformats.org/officeDocument/2006/relationships/footer" Target="footer2.xml"/><Relationship Id="rId10" Type="http://schemas.openxmlformats.org/officeDocument/2006/relationships/hyperlink" Target="https://www.hud.gov/sites/dfiles/PIH/documents/One_Pager_Overview_of_FYI_Notice.pdf" TargetMode="External"/><Relationship Id="rId19" Type="http://schemas.openxmlformats.org/officeDocument/2006/relationships/hyperlink" Target="https://www.tdhca.state.tx.us/oci/bootstrap.htm" TargetMode="External"/><Relationship Id="rId4" Type="http://schemas.openxmlformats.org/officeDocument/2006/relationships/webSettings" Target="webSettings.xml"/><Relationship Id="rId9" Type="http://schemas.openxmlformats.org/officeDocument/2006/relationships/hyperlink" Target="https://www.hud.gov/sites/dfiles/PIH/documents/PHAs_with_an_ACC_with_HUD_for_HCVs_that_do_not_administer_FUP_080919.pdf" TargetMode="External"/><Relationship Id="rId14" Type="http://schemas.openxmlformats.org/officeDocument/2006/relationships/hyperlink" Target="mailto:grants@ncjrs.gov"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hn.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h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N Colors">
      <a:dk1>
        <a:srgbClr val="003D79"/>
      </a:dk1>
      <a:lt1>
        <a:srgbClr val="FFFFFF"/>
      </a:lt1>
      <a:dk2>
        <a:srgbClr val="003D79"/>
      </a:dk2>
      <a:lt2>
        <a:srgbClr val="FFFFFF"/>
      </a:lt2>
      <a:accent1>
        <a:srgbClr val="9DBB53"/>
      </a:accent1>
      <a:accent2>
        <a:srgbClr val="BA431B"/>
      </a:accent2>
      <a:accent3>
        <a:srgbClr val="6B506B"/>
      </a:accent3>
      <a:accent4>
        <a:srgbClr val="1B5CBB"/>
      </a:accent4>
      <a:accent5>
        <a:srgbClr val="4472C4"/>
      </a:accent5>
      <a:accent6>
        <a:srgbClr val="718791"/>
      </a:accent6>
      <a:hlink>
        <a:srgbClr val="003D79"/>
      </a:hlink>
      <a:folHlink>
        <a:srgbClr val="9DBB53"/>
      </a:folHlink>
    </a:clrScheme>
    <a:fontScheme name="THN Fonts">
      <a:majorFont>
        <a:latin typeface="Playfair Display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3</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8289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Paulsen</dc:creator>
  <cp:keywords/>
  <dc:description/>
  <cp:lastModifiedBy>Kraig Fiero</cp:lastModifiedBy>
  <cp:revision>8</cp:revision>
  <cp:lastPrinted>2020-01-16T18:55:00Z</cp:lastPrinted>
  <dcterms:created xsi:type="dcterms:W3CDTF">2020-01-13T17:39:00Z</dcterms:created>
  <dcterms:modified xsi:type="dcterms:W3CDTF">2020-02-20T19:01:00Z</dcterms:modified>
</cp:coreProperties>
</file>